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ИНЖЕНЕРНАЯ ГРАФИКА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Марков Олег Борисович,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естественнонаучные и общеинженерные знания, методы математического анализа и моделирования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 фундаментальных разделов математики, естественнонаучных и общеинженерных дисциплин;</w:t>
            </w:r>
          </w:p>
          <w:p/>
          <w:p>
            <w:pPr/>
            <w:r>
              <w:rPr/>
              <w:t xml:space="preserve">ОПК-1.2. Имеет представление об основных методах математического анализа и моделирования;</w:t>
            </w:r>
          </w:p>
          <w:p/>
          <w:p>
            <w:pPr/>
            <w:r>
              <w:rPr/>
              <w:t xml:space="preserve">ОПК-1.3. Умеет применять естественнонаучные и общеинженерные знания, методы математического анализа и моделирования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разработке технической документации с использованием стандартов, норм и правил, связанных с профессиональной деятельностью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Знает содержание нормативных правовых актов в области профессиональной деятельности, практику их применения, нормы профессиональной этики;</w:t>
            </w:r>
          </w:p>
          <w:p/>
          <w:p>
            <w:pPr/>
            <w:r>
              <w:rPr/>
              <w:t xml:space="preserve">ОПК-6.2. Знает проблемы современной стандартизации, метрологии и сертификации, а также основные пути их решения, определенные национальными и международными нормативными документами;</w:t>
            </w:r>
          </w:p>
          <w:p/>
          <w:p>
            <w:pPr/>
            <w:r>
              <w:rPr/>
              <w:t xml:space="preserve">ОПК-6.3. Осуществляет поиск и анализ необходимой нормативно-правовой документации для составления технической документации в области профессиональной деятельности;</w:t>
            </w:r>
          </w:p>
          <w:p/>
          <w:p>
            <w:pPr/>
            <w:r>
              <w:rPr/>
              <w:t xml:space="preserve">ОПК-6.4. Способен обобщать, разрабатывать и представлять техническую документацию, связанную с профессиональной деятельностью.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Инженерная графика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7 зач. ед. или 252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252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Начертательная геометрия
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Контрольные работы. Расчетно-графические работы.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Проекционное черчение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работа. Графические работы.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Машиностроительное черчение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Решение комплектов задач (рабочая тетрадь); Все виды практик;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 начертательная геометрия. Методы проецирования. Эпюр Монжа.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Поверхности.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ГОСТами ЕСКД (2.105, 2.301, 2.302, 2.303, 2.304, 2.306, 2.307), лекальные кривые, уклон, конусность, сопряжения.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ГОСТ 2.305-2008. Виды, разрезы, сечения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преобразования чертежа. Замена плоскостей проекций. Плоскопараллельный перенос.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разверток поверхностей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Аксонометрические проекции.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Разъёмные и не разъемные соединения, резьбы. Сборочный чертеж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Эскизирование  деталей. Деталирование. Технически рисунок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Точка, на эпюре Монжа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Прямая, на эпюре Монжа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Плоскость, на эпюре Монжа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преобразования чертежа. Замена плоскостей проекций.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Замена плоскостей проекций. Плоскопараллельный перенос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позиционные задачи.  Пересечение прямой и плоскости, двух плоскостей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точек, принадлежащих поверхности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Взаимное пересечение поверхностей, способ вспомогательных  секущих плоскостей и концентрических сфер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Пересечение прямой линии с поверхностью. Сечение тела плоскостью общего положения.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эпюра №1 &amp;quot;Пересечение гранных тел&amp;quot;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эпюра №2 Преобразование проекций.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эпюра №3 Пересечение поверхностей.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рекомендованной литературой. 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графической работы. Виды, разрезы, сечения.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графической работы &amp;quot;Аксонометрия&amp;quot;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графической работы &amp;quot;Сечения&amp;quot;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рекомендованной литературой. Подготовка к лекционным и лабораторным занятиям по проекционному черчению.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Спецификация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Сборочный чертеж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графической работы &amp;quot;Технический рисунок&amp;quot;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Деталирование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графической работы &amp;quot;Деталирование крышки&amp;quot;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ФГОС ВО по реализации компетентностного подхода в процессе освоения дисциплины "Инженерная графика" проводятся лекционные, практические занятия, используются методы и приёмы, которые создают условия для активизации познавательной деятельности, в частности, метод проблемного обучения. Основной принцип проблемного обучения состоит в поисковой деятельности, которая начинается с постановки задач (вопросов). Преподаватель совместно со студентами формулирует итоговые ответы. Проблемное обучение даёт возможность преподавателю обнаружить и оценить знания обучающихся по той или иной теме, определить, достаточно ли у них развита способность пространственного мышления.</w:t>
      </w:r>
      <w:br/>
      <w:r>
        <w:rPr/>
        <w:t xml:space="preserve">Процесс освоения дисциплины предполагает активную самостоятельную работу обучающихся: изучение учебной, учебно-методической литературы, выполнение индивидуальных графических работ.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решение комплектов задач (рабочая тетрадь); контрольная работа; контрольная работа; все виды практик; контрольная работа; контрольная работа; контрольная работа; все виды практик.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Решение комплектов задач (рабочая тетрадь)</w:t>
      </w:r>
    </w:p>
    <w:p>
      <w:pPr/>
      <w:r>
        <w:rPr/>
        <w:t xml:space="preserve">Тетрадь выдаётся в начале семестра преподавателем. Часть задач выполняется совместно с преподавателем на практических занятиях, часть задач решается обучающимися самостоятельно (номера задач указывает преподаватель).</w:t>
      </w:r>
    </w:p>
    <w:p>
      <w:pPr/>
    </w:p>
    <w:p/>
    <w:p>
      <w:pPr/>
      <w:r>
        <w:rPr/>
        <w:t xml:space="preserve">Контрольная работа</w:t>
      </w:r>
    </w:p>
    <w:p>
      <w:pPr/>
      <w:r>
        <w:rPr/>
        <w:t xml:space="preserve">Средство проверки умений применять полученные знания для решения задач по теме: виды, разрезы, сечения.</w:t>
      </w:r>
    </w:p>
    <w:p/>
    <w:p>
      <w:pPr/>
      <w:r>
        <w:rPr/>
        <w:t xml:space="preserve">Контрольная работа</w:t>
      </w:r>
    </w:p>
    <w:p>
      <w:pPr/>
      <w:r>
        <w:rPr/>
        <w:t xml:space="preserve">Средство проверки умений применять полученные знания для решения задач по теме: резьбы.</w:t>
      </w:r>
    </w:p>
    <w:p/>
    <w:p>
      <w:pPr/>
      <w:r>
        <w:rPr/>
        <w:t xml:space="preserve">Все виды практик</w:t>
      </w:r>
    </w:p>
    <w:p>
      <w:pPr/>
      <w:r>
        <w:rPr/>
        <w:t xml:space="preserve">На практических занятиях решаются задачи в соответствии с темой лекционного занятия. Происходит проверка и защита графических работ.</w:t>
      </w:r>
    </w:p>
    <w:p>
      <w:pPr/>
      <w:r>
        <w:rPr/>
        <w:t xml:space="preserve">После выполнения графической работы обучающийся защищает свою работу (отвечает на вопросы преподавателя, решает дополнительную задачу по теме работы (эпюра,  чертежа)</w:t>
      </w:r>
    </w:p>
    <w:p>
      <w:pPr/>
      <w:r>
        <w:rPr>
          <w:b w:val="1"/>
          <w:bCs w:val="1"/>
        </w:rPr>
        <w:t xml:space="preserve">Вопросы, на которые обучающийся должен знать ответы при защите эпюра №1 " Гранные поверхности":</w:t>
      </w:r>
    </w:p>
    <w:p>
      <w:pPr>
        <w:numPr>
          <w:ilvl w:val="0"/>
          <w:numId w:val="1"/>
        </w:numPr>
      </w:pPr>
      <w:r>
        <w:rPr/>
        <w:t xml:space="preserve">В чём заключается сущность метода проекций?</w:t>
      </w:r>
    </w:p>
    <w:p>
      <w:pPr>
        <w:numPr>
          <w:ilvl w:val="0"/>
          <w:numId w:val="1"/>
        </w:numPr>
      </w:pPr>
      <w:r>
        <w:rPr/>
        <w:t xml:space="preserve">Свойства параллельной проекции?</w:t>
      </w:r>
    </w:p>
    <w:p>
      <w:pPr>
        <w:numPr>
          <w:ilvl w:val="0"/>
          <w:numId w:val="1"/>
        </w:numPr>
      </w:pPr>
      <w:r>
        <w:rPr/>
        <w:t xml:space="preserve">Сколько проекций необходимо и достаточно для определения положения точки в пространстве? </w:t>
      </w:r>
    </w:p>
    <w:p>
      <w:pPr>
        <w:numPr>
          <w:ilvl w:val="0"/>
          <w:numId w:val="1"/>
        </w:numPr>
      </w:pPr>
      <w:r>
        <w:rPr/>
        <w:t xml:space="preserve">Правила построения проекции точки по её координатам?</w:t>
      </w:r>
    </w:p>
    <w:p>
      <w:pPr>
        <w:numPr>
          <w:ilvl w:val="0"/>
          <w:numId w:val="1"/>
        </w:numPr>
      </w:pPr>
      <w:r>
        <w:rPr/>
        <w:t xml:space="preserve">Эпюр прямой общего положения?</w:t>
      </w:r>
    </w:p>
    <w:p>
      <w:pPr>
        <w:numPr>
          <w:ilvl w:val="0"/>
          <w:numId w:val="1"/>
        </w:numPr>
      </w:pPr>
      <w:r>
        <w:rPr/>
        <w:t xml:space="preserve">Эпюр прямой частного положения ( прямые уровня и проецирующие)?</w:t>
      </w:r>
    </w:p>
    <w:p>
      <w:pPr>
        <w:numPr>
          <w:ilvl w:val="0"/>
          <w:numId w:val="1"/>
        </w:numPr>
      </w:pPr>
      <w:r>
        <w:rPr/>
        <w:t xml:space="preserve">Принадлежность точки прямой (на эпюре).</w:t>
      </w:r>
    </w:p>
    <w:p>
      <w:pPr/>
      <w:r>
        <w:rPr>
          <w:b w:val="1"/>
          <w:bCs w:val="1"/>
        </w:rPr>
        <w:t xml:space="preserve">Вопросы, на которые обучающийся должен знать ответы при защите эпюра №2 "Преобразование эпюра":</w:t>
      </w:r>
    </w:p>
    <w:p>
      <w:pPr>
        <w:numPr>
          <w:ilvl w:val="0"/>
          <w:numId w:val="2"/>
        </w:numPr>
      </w:pPr>
      <w:r>
        <w:rPr/>
        <w:t xml:space="preserve">В чём состоит цель преобразования эпюра с помощью замены плоскостей проекций?</w:t>
      </w:r>
    </w:p>
    <w:p>
      <w:pPr>
        <w:numPr>
          <w:ilvl w:val="0"/>
          <w:numId w:val="2"/>
        </w:numPr>
      </w:pPr>
      <w:r>
        <w:rPr/>
        <w:t xml:space="preserve">Суть способа замены плоскостей проекций?</w:t>
      </w:r>
    </w:p>
    <w:p>
      <w:pPr>
        <w:numPr>
          <w:ilvl w:val="0"/>
          <w:numId w:val="2"/>
        </w:numPr>
      </w:pPr>
      <w:r>
        <w:rPr/>
        <w:t xml:space="preserve">К каким 4 основным задачам сводится решение задач. когда используется метод замены плоскостей проекций?</w:t>
      </w:r>
    </w:p>
    <w:p>
      <w:pPr>
        <w:numPr>
          <w:ilvl w:val="0"/>
          <w:numId w:val="2"/>
        </w:numPr>
      </w:pPr>
      <w:r>
        <w:rPr/>
        <w:t xml:space="preserve">Как графически на эпюре выражается задание новой плоскости проекций?</w:t>
      </w:r>
    </w:p>
    <w:p>
      <w:pPr>
        <w:numPr>
          <w:ilvl w:val="0"/>
          <w:numId w:val="2"/>
        </w:numPr>
      </w:pPr>
      <w:r>
        <w:rPr/>
        <w:t xml:space="preserve">Как в новой системе плоскостей проекций проводятся линии связи?</w:t>
      </w:r>
    </w:p>
    <w:p>
      <w:pPr>
        <w:numPr>
          <w:ilvl w:val="0"/>
          <w:numId w:val="2"/>
        </w:numPr>
      </w:pPr>
      <w:r>
        <w:rPr/>
        <w:t xml:space="preserve">Какие расстояния нужно использовать, чтобы получить новую проекцию точки?</w:t>
      </w:r>
    </w:p>
    <w:p>
      <w:pPr/>
      <w:r>
        <w:rPr>
          <w:b w:val="1"/>
          <w:bCs w:val="1"/>
        </w:rPr>
        <w:t xml:space="preserve">Вопросы, на которые обучающийся должен знать ответы при защите эпюра №3 "Пересечение поверхностей":</w:t>
      </w:r>
    </w:p>
    <w:p>
      <w:pPr>
        <w:numPr>
          <w:ilvl w:val="0"/>
          <w:numId w:val="3"/>
        </w:numPr>
      </w:pPr>
      <w:r>
        <w:rPr/>
        <w:t xml:space="preserve">Критерий полноты задания поверхности</w:t>
      </w:r>
    </w:p>
    <w:p>
      <w:pPr>
        <w:numPr>
          <w:ilvl w:val="0"/>
          <w:numId w:val="3"/>
        </w:numPr>
      </w:pPr>
      <w:r>
        <w:rPr/>
        <w:t xml:space="preserve">Виды поверхностей?</w:t>
      </w:r>
    </w:p>
    <w:p>
      <w:pPr>
        <w:numPr>
          <w:ilvl w:val="0"/>
          <w:numId w:val="3"/>
        </w:numPr>
      </w:pPr>
      <w:r>
        <w:rPr/>
        <w:t xml:space="preserve">Нахождение недостающей проекции точки, принадлежащей поверхности.</w:t>
      </w:r>
    </w:p>
    <w:p>
      <w:pPr>
        <w:numPr>
          <w:ilvl w:val="0"/>
          <w:numId w:val="3"/>
        </w:numPr>
      </w:pPr>
      <w:r>
        <w:rPr/>
        <w:t xml:space="preserve">Сущность метода вспомогательных проецирующих плоскостей?</w:t>
      </w:r>
    </w:p>
    <w:p>
      <w:pPr>
        <w:numPr>
          <w:ilvl w:val="0"/>
          <w:numId w:val="3"/>
        </w:numPr>
      </w:pPr>
      <w:r>
        <w:rPr/>
        <w:t xml:space="preserve">Сущность метода сфер?</w:t>
      </w:r>
    </w:p>
    <w:p>
      <w:pPr>
        <w:numPr>
          <w:ilvl w:val="0"/>
          <w:numId w:val="3"/>
        </w:numPr>
      </w:pPr>
      <w:r>
        <w:rPr/>
        <w:t xml:space="preserve">частные случаи пересечения поверхностей (когда одна из проекций является проецирующей)?</w:t>
      </w:r>
    </w:p>
    <w:p/>
    <w:p>
      <w:pPr/>
      <w:r>
        <w:rPr/>
        <w:t xml:space="preserve">Контрольная работа</w:t>
      </w:r>
    </w:p>
    <w:p>
      <w:pPr/>
      <w:r>
        <w:rPr/>
        <w:t xml:space="preserve">Средство проверки умений применять полученные знания для решения задач по темам:</w:t>
      </w:r>
    </w:p>
    <w:p>
      <w:pPr/>
      <w:r>
        <w:rPr/>
        <w:t xml:space="preserve"> Задание плоскостей;</w:t>
      </w:r>
    </w:p>
    <w:p>
      <w:pPr/>
      <w:r>
        <w:rPr/>
        <w:t xml:space="preserve"> Плоскости частного и общего положения;</w:t>
      </w:r>
    </w:p>
    <w:p>
      <w:pPr/>
      <w:r>
        <w:rPr/>
        <w:t xml:space="preserve"> Точка и прямая в плоскости;</w:t>
      </w:r>
    </w:p>
    <w:p>
      <w:pPr/>
      <w:r>
        <w:rPr/>
        <w:t xml:space="preserve"> Главные линии плоскости</w:t>
      </w:r>
    </w:p>
    <w:p/>
    <w:p>
      <w:pPr/>
      <w:r>
        <w:rPr/>
        <w:t xml:space="preserve">Контрольная работа</w:t>
      </w:r>
    </w:p>
    <w:p>
      <w:pPr/>
      <w:r>
        <w:rPr/>
        <w:t xml:space="preserve">Средство проверки умений применять полученные знания для решения задач по темам:</w:t>
      </w:r>
      <w:br/>
      <w:r>
        <w:rPr/>
        <w:t xml:space="preserve">Проецирование точки на две и три плоскости проекций;</w:t>
      </w:r>
      <w:br/>
      <w:r>
        <w:rPr/>
        <w:t xml:space="preserve">Частные положения прямой;</w:t>
      </w:r>
      <w:br/>
      <w:r>
        <w:rPr/>
        <w:t xml:space="preserve">Принадлежность точки прямой;</w:t>
      </w:r>
      <w:br/>
      <w:r>
        <w:rPr/>
        <w:t xml:space="preserve">Определение истинной величины отрезка прямой;</w:t>
      </w:r>
      <w:br/>
      <w:r>
        <w:rPr/>
        <w:t xml:space="preserve">Деление отрезка в данном отношении.</w:t>
      </w:r>
    </w:p>
    <w:p/>
    <w:p>
      <w:pPr/>
      <w:r>
        <w:rPr/>
        <w:t xml:space="preserve">Контрольная работа</w:t>
      </w:r>
    </w:p>
    <w:p>
      <w:pPr/>
      <w:r>
        <w:rPr/>
        <w:t xml:space="preserve">Средство проверки умений применять полученные знания для решения задач по теме: Методы преобразования проекций.</w:t>
      </w:r>
    </w:p>
    <w:p>
      <w:pPr/>
      <w:r>
        <w:rPr/>
        <w:t xml:space="preserve">Варианты контрольных работ представлены в приложении к рабочей программе (выдаются преподавателем непосредственно перед проведением контрольной работы. и соответствуют теме)</w:t>
      </w:r>
    </w:p>
    <w:p/>
    <w:p>
      <w:pPr/>
      <w:r>
        <w:rPr/>
        <w:t xml:space="preserve">Все виды практик</w:t>
      </w:r>
    </w:p>
    <w:p>
      <w:pPr/>
      <w:r>
        <w:rPr/>
        <w:t xml:space="preserve">Выполнение графических работ по модулю проекционное черчение в соответствии со своим вариантом. Защита работы (дополнительное задание по теме графической работы).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/>
    <w:p>
      <w:pPr/>
      <w:r>
        <w:rPr/>
        <w:t xml:space="preserve">Зачет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Лекционные занятия. Перед каждой лекцией необходимо просматривать материал предыдущих разделов. При затруднениях следует обратится к рекомендованным литературным источникам. Если не удаётся разобрать материал самостоятельно, необходимо обратиться к преподавателю (в часы консультаций) или во время практических занятий.</w:t>
      </w:r>
    </w:p>
    <w:p>
      <w:pPr/>
      <w:r>
        <w:rPr/>
        <w:t xml:space="preserve">Практические (лабораторные) занятия. При подготовке к занятию необходимо проработать соответствующий теоретический материал. В начале занятия задать преподавателю вопросы по материалу, вызвавшему затруднения.</w:t>
      </w:r>
    </w:p>
    <w:p>
      <w:pPr/>
      <w:r>
        <w:rPr/>
        <w:t xml:space="preserve">Графические работы.  Должны выполняться в самостоятельно по вариантам и в сроки, указанные преподавателем. Рекомендации по оформлению графических работ даны в методической литературе.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  лабораторные работы.  В течение семестра  проводится контроль посещаемости.  Содержание практических занятий включает  решение задач по пройденному материалу, проверку и защиту графических работ. В ходе изучения материала проводится проверка знаний при помощи контрольных работ (представлены в ФОС).</w:t>
      </w:r>
    </w:p>
    <w:p>
      <w:pPr/>
      <w:r>
        <w:rPr/>
        <w:t xml:space="preserve">Выполнение всех графических, контрольных работ, решение задач в рабочей тетради является необходимым и достаточным условием для получения допуска к экзамену дисциплине «Инженерная графика» и получения зачета.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. Важным условием является организация и контроль самостоятельной работы студентов со стороны преподавателя и проверка знания материала при помощи контрольных и графических работ.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Геометрическое черчение : методические указания и контрольные задания для студентов всех инженерных направлений / Федер. гос. бюджет. образоват. учреждение высш. проф. образования Петрозав. гос. ун-т ; [сост.: Б. Г. Марков, О. Б. Марков]. - Петрозаводск : Издательство ПетрГУ, 2012. - 37 с.</w:t>
      </w:r>
    </w:p>
    <w:p>
      <w:pPr>
        <w:numPr>
          <w:ilvl w:val="0"/>
          <w:numId w:val="4"/>
        </w:numPr>
      </w:pPr>
      <w:r>
        <w:rPr/>
        <w:t xml:space="preserve">Гордон, В.О.    Курс начертательной геометрии : учебное пособие для студентов вузов / В.О.Гордон, М.А.Семенцов-Огиевский ; под ред. В.О.Гордона, Ю.Б.Иванова. - Изд. 24-е., стер. - М. : Высшая школа, 2002. - 272 с. : ил. - Гриф: Рекомендовано Министерством образования Российской Федерации. - Библиогр.: с 272 (14 назв.). - ISBN 5-06-003518-2</w:t>
      </w:r>
      <w:br/>
      <w:r>
        <w:rPr/>
        <w:t xml:space="preserve">Учебное пособие для машиностроительных, приборостроительных и механико-технологических специальностей</w:t>
      </w:r>
    </w:p>
    <w:p>
      <w:pPr>
        <w:numPr>
          <w:ilvl w:val="0"/>
          <w:numId w:val="4"/>
        </w:numPr>
      </w:pPr>
      <w:r>
        <w:rPr/>
        <w:t xml:space="preserve"> Гордон В.О.  Сборник задач по курсу начертательной геометрии : Учеб. пособие для втузов / В.О.Гордон / Ю.Б.Иванов / Т.Е.Солнцева ; под ред.Ю.Б.Иванова. - 7-е изд.,стер. - М : Высшая школа, 2000. - 320 с. ; 23,5 см. - Допущено МО РФ. - ISBN 5-06-003519-0</w:t>
      </w:r>
    </w:p>
    <w:p>
      <w:pPr>
        <w:numPr>
          <w:ilvl w:val="0"/>
          <w:numId w:val="4"/>
        </w:numPr>
      </w:pPr>
      <w:r>
        <w:rPr/>
        <w:t xml:space="preserve">Деталирование : учебное пособие для обучающихся по инженерным направлениям подготовки бакалавриата /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 ; [сост.: Б. Г. Марков, О. Б. Марков]. - Петрозаводск : Издательство ПетрГУ, 2018. - 52 с.</w:t>
      </w:r>
    </w:p>
    <w:p>
      <w:pPr>
        <w:numPr>
          <w:ilvl w:val="0"/>
          <w:numId w:val="4"/>
        </w:numPr>
      </w:pPr>
      <w:r>
        <w:rPr/>
        <w:t xml:space="preserve">Начертательная геометрия : рабочая тетрадь для обучающихся по инженерным направлениям подготовки бакалавриата /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 ; [сост.: Б. Г. Марков, О. Б. Марков]. - Петрозаводск : Издательство ПетрГУ, 2018. - 40 с.</w:t>
      </w:r>
    </w:p>
    <w:p>
      <w:pPr>
        <w:numPr>
          <w:ilvl w:val="0"/>
          <w:numId w:val="4"/>
        </w:numPr>
      </w:pPr>
      <w:r>
        <w:rPr/>
        <w:t xml:space="preserve">Начертательная геометрия : учебное пособие для студентов, обучающихся по техническим направлениям бакалавриата / М-во образования и науки Рос. Федерации, Федер. гос. бюджет. образоват. учреждение высш. проф. образования Петрозав. гос. ун-т ; [сост. Б. Г. Марков, О. Б. Марков, М. Ю. Городничина]. - Петрозаводск : Издательство ПетрГУ, 2013. - 44 с.</w:t>
      </w:r>
    </w:p>
    <w:p>
      <w:pPr>
        <w:numPr>
          <w:ilvl w:val="0"/>
          <w:numId w:val="4"/>
        </w:numPr>
      </w:pPr>
      <w:r>
        <w:rPr/>
        <w:t xml:space="preserve">Проекционное черчение : учебное пособие для студентов, обучающихся по направлению подготовки бакалавриата 15100 "Технологические машины и оборудование" /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 ; [сост.: Б. Г. Марков, О. Б. Марков, Н. А. Доспехова]. - Петрозаводск : Издательство ПетрГУ, 2017. - 55 с.  </w:t>
      </w:r>
    </w:p>
    <w:p>
      <w:pPr>
        <w:numPr>
          <w:ilvl w:val="0"/>
          <w:numId w:val="4"/>
        </w:numPr>
      </w:pPr>
      <w:r>
        <w:rPr/>
        <w:t xml:space="preserve">Расчетно-графические работы по начертательной геометрии : учебное пособие для студентов бакалавриата, обучающихся по направлению подготовки 250400 "Технология лесозаготовительных и деревоперерабатывающих производств" / Федер. гос. бюджет. образоват. учреждение высш. проф. образования Петрозав. гос. ун-т ; [сост.: Марков Б. Г., Марков О. Б., Городничина М. Ю.]. - Петрозаводск : Издательство ПетрГУ, 2015. - 43 с. : ил., табл. ; 29 см. - Библиогр.: с. 43.</w:t>
      </w:r>
    </w:p>
    <w:p>
      <w:pPr>
        <w:numPr>
          <w:ilvl w:val="0"/>
          <w:numId w:val="4"/>
        </w:numPr>
      </w:pPr>
      <w:r>
        <w:rPr/>
        <w:t xml:space="preserve">Рабочие чертежи и эскизы деталей : учебное пособие для студентов вузов / М-во образования и науки Рос. Федерации, Федер. гос. бюджет. образоват. учреждение высш. проф. образования Петрозав. гос. ун-т ; [сост. Б. Г. Марков, О. Б. Марков]. - Петрозаводск : Издательство ПетрГУ, 2014. - 59 с. : табл., ил. ; 29 см. - Библиогр.: с. 59.</w:t>
      </w:r>
    </w:p>
    <w:p>
      <w:pPr>
        <w:numPr>
          <w:ilvl w:val="0"/>
          <w:numId w:val="4"/>
        </w:numPr>
      </w:pPr>
      <w:r>
        <w:rPr/>
        <w:t xml:space="preserve">Разъемные соединения : учебное пособие для студентов, обучающихся по машиностроительным направлениям / М-во образования и науки Рос. Федерации, Федер. гос. бюджет. образоват. учреждение высш. проф. образования Петрозав. гос. ун-т ; [сост. Б. Г. Марков, О. Б. Марков, А. А. Кузьменков]. - Петрозаводск : Издательство ПетрГУ, 2014. - 58 с. : ил., табл., черт. ; 29 см. - Прил.: с. 55-57. - Библиогр.: с. 58 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Техническое рисование [Электронный ресурс] : учебное электронное пособие для студентов бакалавриата /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 ; [составители: Б. Г. Марков, О. Б. Марков]. - Электронные текстовые данные. - Петрозаводск : Издательство ПетрГУ, 2016. http://elibrary.petrsu.ru/book.shtml?levelID=031005&amp;id=28084&amp;cType=1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Используются </w:t>
      </w:r>
      <w:hyperlink r:id="rId7" w:history="1">
        <w:r>
          <w:rPr/>
          <w:t xml:space="preserve">электронный каталог Научной библиотеки ПетрГУ и </w:t>
        </w:r>
      </w:hyperlink>
      <w:hyperlink r:id="rId8" w:history="1">
        <w:r>
          <w:rPr/>
          <w:t xml:space="preserve">электронная библиотечная система «Консультант студента. </w:t>
        </w:r>
      </w:hyperlink>
    </w:p>
    <w:p>
      <w:pPr/>
    </w:p>
    <w:p>
      <w:pPr>
        <w:numPr>
          <w:ilvl w:val="0"/>
          <w:numId w:val="5"/>
        </w:numPr>
      </w:pPr>
      <w:r>
        <w:rPr/>
        <w:t xml:space="preserve">Деталирование [Электронный ресурс] : учебное электронноhttp://elibrary.petrsu.ru/book.shtml?levelID=031005&amp;id=28082&amp;cType=1е пособие для студентов бакалавриата, обучающихся по инженерным направлениям подготовки /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 ; [составители: Б. Г. Марков, О. Б. Марков]. - Электронные текстовые данные. - Петрозаводск : Издательство ПетрГУ, 2016. - </w:t>
      </w:r>
      <w:r>
        <w:rPr/>
        <w:t xml:space="preserve">http://elibrary.petrsu.ru/book.shtml?levelID=031005&amp;id=28082&amp;cType=1</w:t>
      </w:r>
    </w:p>
    <w:p>
      <w:pPr>
        <w:numPr>
          <w:ilvl w:val="0"/>
          <w:numId w:val="5"/>
        </w:numPr>
      </w:pPr>
      <w:r>
        <w:rPr/>
        <w:t xml:space="preserve">Инженерная графика. Эскизирование деталей машин [Электронный ресурс] / Борисенко И.Г. - Красноярск : СФУ, 2012. - http://www.studentlibrary.ru/book/ISBN9785763825961.html</w:t>
      </w:r>
    </w:p>
    <w:p>
      <w:pPr>
        <w:numPr>
          <w:ilvl w:val="0"/>
          <w:numId w:val="5"/>
        </w:numPr>
      </w:pPr>
      <w:r>
        <w:rPr/>
        <w:t xml:space="preserve">Машиностроительное черчение [Электронный ресурс] : справочник / Г.Н. Попова, С. Ю. Алексеев. - 5-е изд., перераб. и доп. - СПб. : Политехника, 2011. - http://www.studentlibrary.ru/book/ISBN9785732509939.html</w:t>
      </w:r>
    </w:p>
    <w:p>
      <w:pPr>
        <w:numPr>
          <w:ilvl w:val="0"/>
          <w:numId w:val="5"/>
        </w:numPr>
      </w:pPr>
      <w:r>
        <w:rPr/>
        <w:t xml:space="preserve">Начертательная</w:t>
      </w:r>
      <w:r>
        <w:rPr/>
        <w:t xml:space="preserve"> </w:t>
      </w:r>
      <w:r>
        <w:rPr/>
        <w:t xml:space="preserve">геометрия</w:t>
      </w:r>
      <w:r>
        <w:rPr/>
        <w:t xml:space="preserve"> [Электронный ресурс]: учеб. / Дергач В.В. - Красноярск : СФУ, 2014. - http://www.studentlibrary.ru/book/ISBN9785763829822.html</w:t>
      </w:r>
    </w:p>
    <w:p>
      <w:pPr>
        <w:numPr>
          <w:ilvl w:val="0"/>
          <w:numId w:val="5"/>
        </w:numPr>
      </w:pPr>
      <w:r>
        <w:rPr/>
        <w:t xml:space="preserve">Основы </w:t>
      </w:r>
      <w:r>
        <w:rPr/>
        <w:t xml:space="preserve">начертательной</w:t>
      </w:r>
      <w:r>
        <w:rPr/>
        <w:t xml:space="preserve"> </w:t>
      </w:r>
      <w:r>
        <w:rPr/>
        <w:t xml:space="preserve">геометрии</w:t>
      </w:r>
      <w:r>
        <w:rPr/>
        <w:t xml:space="preserve">. Методика решения типовых позиционных и метрических задач [Электронный ресурс] : Учеб. пособие / Г.В. Буланже, И.А. Гущин, А.Д. Стогнев. - М. : Абрис, 2012. - </w:t>
      </w:r>
      <w:hyperlink r:id="rId9" w:history="1">
        <w:r>
          <w:rPr/>
          <w:t xml:space="preserve">http://www.studentlibrary.ru/book/ISBN9785437200292.html</w:t>
        </w:r>
      </w:hyperlink>
    </w:p>
    <w:p>
      <w:pPr>
        <w:numPr>
          <w:ilvl w:val="0"/>
          <w:numId w:val="5"/>
        </w:numPr>
      </w:pPr>
      <w:r>
        <w:rPr/>
        <w:t xml:space="preserve">Разъемные соединения [Электронный ресурс] : учебное электронное пособие для студентов, обучающихся по машиностроительным направлениям /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 ; [составители: Б. Г. Марков, О. Б. Марков]. - 2-е изд., испр. и доп. - Электронные текстовые данные. - Петрозаводск : Издательство ПетрГУ, 2016. </w:t>
      </w:r>
      <w:hyperlink r:id="rId10" w:history="1">
        <w:r>
          <w:rPr/>
          <w:t xml:space="preserve">http://elibrary.petrsu.ru/book.shtml?levelID=031005&amp;id=27963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DC44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DC512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9124B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49CB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E22A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4FD70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www.studmedlib.ru/" TargetMode="External"/><Relationship Id="rId9" Type="http://schemas.openxmlformats.org/officeDocument/2006/relationships/hyperlink" Target="http://www.studentlibrary.ru/book/ISBN9785437200292.html" TargetMode="External"/><Relationship Id="rId10" Type="http://schemas.openxmlformats.org/officeDocument/2006/relationships/hyperlink" Target="http://elibrary.petrsu.ru/book.shtml?levelID=031005&amp;id=279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2026-04-21T09:55:30+03:00</dcterms:created>
  <dcterms:modified xsi:type="dcterms:W3CDTF">2026-04-21T09:55:30+03:00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