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 Специальные виды литья.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 Режимы ручной дуговой сварки. Технология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Полуавтоматическая и автоматическая сварка. Сварка давлением. Специальные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 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 Станки строгальной группы. Шлифовальные станки. Режимы резания. Режущий инструмент. Особые виды обработки.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 Проектирование технологического процесса горячей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отливки в песчано-глинистой форме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ручной дуговой и полуавтоматической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кинематических схем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черных и цветных металлов».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5.1.1. Контрольная работа 1</w:t>
      </w:r>
    </w:p>
    <w:p>
      <w:pPr/>
      <w:r>
        <w:rPr/>
        <w:t xml:space="preserve">Название контрольной работы № 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>
          <w:b w:val="1"/>
          <w:bCs w:val="1"/>
        </w:rPr>
        <w:t xml:space="preserve">5.1.2. Контрольная работа 2</w:t>
      </w:r>
    </w:p>
    <w:p>
      <w:pPr/>
      <w:r>
        <w:rPr/>
        <w:t xml:space="preserve">Название контрольной работы 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>
          <w:b w:val="1"/>
          <w:bCs w:val="1"/>
        </w:rPr>
        <w:t xml:space="preserve">5.1.2. Контрольная работа 3</w:t>
      </w:r>
    </w:p>
    <w:p>
      <w:pPr/>
      <w:r>
        <w:rPr/>
        <w:t xml:space="preserve">Название контрольной работы 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>
      <w:pPr/>
      <w:r>
        <w:rPr>
          <w:b w:val="1"/>
          <w:bCs w:val="1"/>
        </w:rPr>
        <w:t xml:space="preserve">5.1.2. Контрольная работа 4</w:t>
      </w:r>
    </w:p>
    <w:p>
      <w:pPr/>
      <w:r>
        <w:rPr/>
        <w:t xml:space="preserve">Название контрольной работы № 4: РАСЧЕТ РЕЖИМОВ РЕЗАНИЯ ПРИ ТОКАРНОЙ ОБРАБОТКЕ ДЕТАЛИ</w:t>
      </w:r>
    </w:p>
    <w:p>
      <w:pPr/>
      <w:r>
        <w:rPr/>
        <w:t xml:space="preserve">Контрольная работа выполняется в ходе изучения четвертого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расчет режимов резания (глубины резания </w:t>
      </w:r>
      <w:r>
        <w:rPr>
          <w:i w:val="1"/>
          <w:iCs w:val="1"/>
        </w:rPr>
        <w:t xml:space="preserve">t</w:t>
      </w:r>
      <w:r>
        <w:rPr/>
        <w:t xml:space="preserve"> подачи </w:t>
      </w:r>
      <w:r>
        <w:rPr>
          <w:i w:val="1"/>
          <w:iCs w:val="1"/>
        </w:rPr>
        <w:t xml:space="preserve">S</w:t>
      </w:r>
      <w:r>
        <w:rPr/>
        <w:t xml:space="preserve">, скорости резания </w:t>
      </w:r>
      <w:r>
        <w:rPr>
          <w:i w:val="1"/>
          <w:iCs w:val="1"/>
        </w:rPr>
        <w:t xml:space="preserve">V</w:t>
      </w:r>
      <w:r>
        <w:rPr/>
        <w:t xml:space="preserve">, геометрических параметров и стойкости режущей части инструментов, силы резания </w:t>
      </w:r>
      <w:r>
        <w:rPr>
          <w:i w:val="1"/>
          <w:iCs w:val="1"/>
        </w:rPr>
        <w:t xml:space="preserve">Р</w:t>
      </w:r>
      <w:r>
        <w:rPr/>
        <w:t xml:space="preserve">, мощности </w:t>
      </w:r>
      <w:r>
        <w:rPr>
          <w:i w:val="1"/>
          <w:iCs w:val="1"/>
        </w:rPr>
        <w:t xml:space="preserve">N</w:t>
      </w:r>
      <w:r>
        <w:rPr/>
        <w:t xml:space="preserve">, основного технологического времени </w:t>
      </w:r>
      <w:r>
        <w:rPr>
          <w:i w:val="1"/>
          <w:iCs w:val="1"/>
        </w:rPr>
        <w:t xml:space="preserve">Т</w:t>
      </w:r>
      <w:r>
        <w:rPr/>
        <w:t xml:space="preserve">); 2) выполнить чертеж детали и режущего инструмента.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процесса токарной обработки детали,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№4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(24 часа) и самостоятельную работу студента (120 часов). Перечень и краткое содержание этой работы студенты получают в начале изучения дисциплины.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Практические занятия проходят в лаборатории материаловедения и технологии конструкционных материалов, лаборатории станков, лаборатории сварки. Выполнение всех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Практические занятия проходят в лаборатории материаловедения и технологии конструкционных материалов, лаборатории станков, лаборатории сварки. Выполнение всех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numPr>
          <w:ilvl w:val="0"/>
          <w:numId w:val="6"/>
        </w:numPr>
      </w:pPr>
      <w:r>
        <w:rPr/>
        <w:t xml:space="preserve">Сайт Союза машиностроителей России – </w:t>
      </w:r>
      <w:hyperlink r:id="rId8" w:history="1">
        <w:r>
          <w:rPr/>
          <w:t xml:space="preserve">http://www.soyuzmash.ru/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с., </w:t>
      </w:r>
      <w:hyperlink r:id="rId9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ПетрГУ.</w:t>
      </w:r>
    </w:p>
    <w:p>
      <w:pPr>
        <w:numPr>
          <w:ilvl w:val="0"/>
          <w:numId w:val="7"/>
        </w:numPr>
      </w:pPr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64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095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BA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A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3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A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A7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3B40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hyperlink" Target="http://www.soyuzmash.ru/" TargetMode="External"/><Relationship Id="rId9" Type="http://schemas.openxmlformats.org/officeDocument/2006/relationships/hyperlink" Target="https://edu.petrsu.ru:443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2026-04-21T09:55:38+03:00</dcterms:created>
  <dcterms:modified xsi:type="dcterms:W3CDTF">2026-04-21T09:55:38+03:00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