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УПРАВЛЕНИЯ ТЕХНИЧЕСКИМИ СИСТЕМАМИ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 сфере своей профессиональной деятельности проводить измерения и наблюдения, обрабатывать и представлять экспериментальные данные и результаты испытаний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Имеет представление об основных математических, естественнонаучных методах исследования, в том числе экспериментальных;</w:t>
            </w:r>
          </w:p>
          <w:p/>
          <w:p>
            <w:pPr/>
            <w:r>
              <w:rPr/>
              <w:t xml:space="preserve">ОПК-3.2. Умеет выбирать оптимальные методы при решении задач профессиональной деятельности;</w:t>
            </w:r>
          </w:p>
          <w:p/>
          <w:p>
            <w:pPr/>
            <w:r>
              <w:rPr/>
              <w:t xml:space="preserve">ОПК-3.3. Способен проводить исследования и испытания по заданной методике в области профессиональной деятельности;</w:t>
            </w:r>
          </w:p>
          <w:p/>
          <w:p>
            <w:pPr/>
            <w:r>
              <w:rPr/>
              <w:t xml:space="preserve">ОПК-3.4. Систематизирует, обобщает, представляет, содержательно интерпретирует и адекватно анализирует достоверность экспериментальных данных.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управления техническими системами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Математика.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Общие понятия и определения.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Режимы работы систем автоматического управления. Структурные схемы.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Устойчивость линейных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Математические модели линейных и нелинейных систем.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Прямые методы оценки качества регулирования.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Основные термины и определения теории автоматического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характеристики. Переходные характеристики элементарных звеньев.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Частотные характеристики. Частотные характеристики типовых звеньев.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разомкнутой линейной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поведения систем управления при типовых воздействиях.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Оптимизация систем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нелинейных систем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Частотные характеристики разомкнутых САУ.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логарифмических частотных характеристик разомкнутых одноконтурных САУ/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устойчивости системы. Алгебраические критерии устойчивости.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устойчивости систем с помощью частотных критериев.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устойчивости систем с помощью алгебраических критериев.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Частотные критерии устойчивости. Принцип аргумента. Критерий устойчивости Михайлова. Критерий устойчивости Найквиста.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Динамические характеристики линейных систем. Уравнения состояния.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Переход от уравнений состояния к передаточным функциям с использованием структурных схем. Область применимости структурного метода.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Типовые нелинейности.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Качество САУ. Методы оценки качества управления. Оценка переходного процесса при ступенчатом воздействии.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качества управления при периодических возмущениях.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синтеза систем управления с включением корректирующих устройств. Изменение параметров звеньев для достижения требуемого качества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Цифровая реализация непрерывного регулятора.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Эксплуатация транспортно-технологических машин и комплексов</w:t>
      </w:r>
      <w:r>
        <w:rPr/>
        <w:t xml:space="preserve">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активизируется процесс понимания, усвоения, творческого применения знаний, усиливается мотивация и вовлеченность обучающихся в решение обсуждаемых вопросов. На практических занятиях предлагается закрепить теоретический материал решением конкретных профессиональных задач. Обучающиеся выполняют две контрольные работы для проверки навыков использования теоретических знаний на практике.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1"/>
        </w:numPr>
      </w:pPr>
      <w:r>
        <w:rPr/>
        <w:t xml:space="preserve">Основные понятия и определения теории автоматического управления.</w:t>
      </w:r>
    </w:p>
    <w:p>
      <w:pPr>
        <w:numPr>
          <w:ilvl w:val="0"/>
          <w:numId w:val="1"/>
        </w:numPr>
      </w:pPr>
      <w:r>
        <w:rPr/>
        <w:t xml:space="preserve">Принципы управления.</w:t>
      </w:r>
    </w:p>
    <w:p>
      <w:pPr>
        <w:numPr>
          <w:ilvl w:val="0"/>
          <w:numId w:val="1"/>
        </w:numPr>
      </w:pPr>
      <w:r>
        <w:rPr/>
        <w:t xml:space="preserve">Функциональные схемы систем автоматического управления (САУ).</w:t>
      </w:r>
    </w:p>
    <w:p>
      <w:pPr>
        <w:numPr>
          <w:ilvl w:val="0"/>
          <w:numId w:val="1"/>
        </w:numPr>
      </w:pPr>
      <w:r>
        <w:rPr/>
        <w:t xml:space="preserve">Классификация САУ.</w:t>
      </w:r>
    </w:p>
    <w:p>
      <w:pPr>
        <w:numPr>
          <w:ilvl w:val="0"/>
          <w:numId w:val="1"/>
        </w:numPr>
      </w:pPr>
      <w:r>
        <w:rPr/>
        <w:t xml:space="preserve">Математическое описание САУ. Статические и динамические характеристики элементов САР.</w:t>
      </w:r>
    </w:p>
    <w:p>
      <w:pPr>
        <w:numPr>
          <w:ilvl w:val="0"/>
          <w:numId w:val="1"/>
        </w:numPr>
      </w:pPr>
      <w:r>
        <w:rPr/>
        <w:t xml:space="preserve">Преобразование Лапласа и его свойства.</w:t>
      </w:r>
    </w:p>
    <w:p>
      <w:pPr>
        <w:numPr>
          <w:ilvl w:val="0"/>
          <w:numId w:val="1"/>
        </w:numPr>
      </w:pPr>
      <w:r>
        <w:rPr/>
        <w:t xml:space="preserve">Передаточная функция САУ и ее свойства. Решение дифференциальных уравнений операторным методом.</w:t>
      </w:r>
    </w:p>
    <w:p>
      <w:pPr>
        <w:numPr>
          <w:ilvl w:val="0"/>
          <w:numId w:val="1"/>
        </w:numPr>
      </w:pPr>
      <w:r>
        <w:rPr/>
        <w:t xml:space="preserve">Структурные схемы САУ и ее элементы. Общие правила составления структурных схем САУ.</w:t>
      </w:r>
    </w:p>
    <w:p>
      <w:pPr>
        <w:numPr>
          <w:ilvl w:val="0"/>
          <w:numId w:val="1"/>
        </w:numPr>
      </w:pPr>
      <w:r>
        <w:rPr/>
        <w:t xml:space="preserve">Построение структурных схем САУ: по заданной системе дифференциальных уравнений; по функциональной схеме.</w:t>
      </w:r>
    </w:p>
    <w:p>
      <w:pPr>
        <w:numPr>
          <w:ilvl w:val="0"/>
          <w:numId w:val="1"/>
        </w:numPr>
      </w:pPr>
      <w:r>
        <w:rPr/>
        <w:t xml:space="preserve">Типовые структуры связей между элементами САУ: последовательное соединение; параллельное соединение; соединение с обратной связью.</w:t>
      </w:r>
    </w:p>
    <w:p>
      <w:pPr>
        <w:numPr>
          <w:ilvl w:val="0"/>
          <w:numId w:val="1"/>
        </w:numPr>
      </w:pPr>
      <w:r>
        <w:rPr/>
        <w:t xml:space="preserve">Передаточные функции системы по задающему и возмущающему воздействию.</w:t>
      </w:r>
    </w:p>
    <w:p>
      <w:pPr>
        <w:numPr>
          <w:ilvl w:val="0"/>
          <w:numId w:val="1"/>
        </w:numPr>
      </w:pPr>
      <w:r>
        <w:rPr/>
        <w:t xml:space="preserve">Временные характеристики САР: переходная характеристика; импульсная переходная (весовая) характеристика; связь между передаточной функцией и функциями при типовых входных воздействиях.</w:t>
      </w:r>
    </w:p>
    <w:p>
      <w:pPr>
        <w:numPr>
          <w:ilvl w:val="0"/>
          <w:numId w:val="1"/>
        </w:numPr>
      </w:pPr>
      <w:r>
        <w:rPr/>
        <w:t xml:space="preserve">Частотные характеристики САУ. Частотный анализ.</w:t>
      </w:r>
    </w:p>
    <w:p>
      <w:pPr>
        <w:numPr>
          <w:ilvl w:val="0"/>
          <w:numId w:val="1"/>
        </w:numPr>
      </w:pPr>
      <w:r>
        <w:rPr/>
        <w:t xml:space="preserve">Логарифмические частотные характеристики САУ.</w:t>
      </w:r>
    </w:p>
    <w:p>
      <w:pPr>
        <w:numPr>
          <w:ilvl w:val="0"/>
          <w:numId w:val="1"/>
        </w:numPr>
      </w:pPr>
      <w:r>
        <w:rPr/>
        <w:t xml:space="preserve">Типовые динамические звенья: передаточные функции, примеры.</w:t>
      </w:r>
    </w:p>
    <w:p>
      <w:pPr>
        <w:numPr>
          <w:ilvl w:val="0"/>
          <w:numId w:val="1"/>
        </w:numPr>
      </w:pPr>
      <w:r>
        <w:rPr/>
        <w:t xml:space="preserve">Временные характеристики типовых динамических звеньев.</w:t>
      </w:r>
    </w:p>
    <w:p>
      <w:pPr>
        <w:numPr>
          <w:ilvl w:val="0"/>
          <w:numId w:val="1"/>
        </w:numPr>
      </w:pPr>
      <w:r>
        <w:rPr/>
        <w:t xml:space="preserve">Частотные характеристики типовых динамических звеньев.</w:t>
      </w:r>
    </w:p>
    <w:p>
      <w:pPr>
        <w:numPr>
          <w:ilvl w:val="0"/>
          <w:numId w:val="1"/>
        </w:numPr>
      </w:pPr>
      <w:r>
        <w:rPr/>
        <w:t xml:space="preserve">Законы регулирования, Типы регуляторов.</w:t>
      </w:r>
    </w:p>
    <w:p>
      <w:pPr>
        <w:numPr>
          <w:ilvl w:val="0"/>
          <w:numId w:val="1"/>
        </w:numPr>
      </w:pPr>
      <w:r>
        <w:rPr/>
        <w:t xml:space="preserve">Условия устойчивости линейных САУ: свободная и вынужденная составляющие решения дифференциального уравнения; условия устойчивости и неустойчивости системы.</w:t>
      </w:r>
    </w:p>
    <w:p>
      <w:pPr>
        <w:numPr>
          <w:ilvl w:val="0"/>
          <w:numId w:val="1"/>
        </w:numPr>
      </w:pPr>
      <w:r>
        <w:rPr/>
        <w:t xml:space="preserve">Критерии устойчивости (понятие и типы).</w:t>
      </w:r>
    </w:p>
    <w:p>
      <w:pPr>
        <w:numPr>
          <w:ilvl w:val="0"/>
          <w:numId w:val="1"/>
        </w:numPr>
      </w:pPr>
      <w:r>
        <w:rPr/>
        <w:t xml:space="preserve">Алгебраический критерий устойчивости Рауса.</w:t>
      </w:r>
    </w:p>
    <w:p>
      <w:pPr>
        <w:numPr>
          <w:ilvl w:val="0"/>
          <w:numId w:val="1"/>
        </w:numPr>
      </w:pPr>
      <w:r>
        <w:rPr/>
        <w:t xml:space="preserve">Алгебраический критерий устойчивости Гурвица.</w:t>
      </w:r>
    </w:p>
    <w:p>
      <w:pPr>
        <w:numPr>
          <w:ilvl w:val="0"/>
          <w:numId w:val="1"/>
        </w:numPr>
      </w:pPr>
      <w:r>
        <w:rPr/>
        <w:t xml:space="preserve">Частотный критерий устойчивости Михайлова.</w:t>
      </w:r>
    </w:p>
    <w:p>
      <w:pPr>
        <w:numPr>
          <w:ilvl w:val="0"/>
          <w:numId w:val="1"/>
        </w:numPr>
      </w:pPr>
      <w:r>
        <w:rPr/>
        <w:t xml:space="preserve">Частотный критерий устойчивости Найквиста.</w:t>
      </w:r>
    </w:p>
    <w:p>
      <w:pPr>
        <w:numPr>
          <w:ilvl w:val="0"/>
          <w:numId w:val="1"/>
        </w:numPr>
      </w:pPr>
      <w:r>
        <w:rPr/>
        <w:t xml:space="preserve">Понятие структурной устойчивости. АФЧХ астатических САУ.</w:t>
      </w:r>
    </w:p>
    <w:p>
      <w:pPr>
        <w:numPr>
          <w:ilvl w:val="0"/>
          <w:numId w:val="1"/>
        </w:numPr>
      </w:pPr>
      <w:r>
        <w:rPr/>
        <w:t xml:space="preserve">Анализ устойчивости по ЛЧХ. Запасы устойчивости САУ.</w:t>
      </w:r>
    </w:p>
    <w:p>
      <w:pPr>
        <w:numPr>
          <w:ilvl w:val="0"/>
          <w:numId w:val="1"/>
        </w:numPr>
      </w:pPr>
      <w:r>
        <w:rPr/>
        <w:t xml:space="preserve">Оценка качества регулирования в переходном режиме. Типы переходных процессов.</w:t>
      </w:r>
    </w:p>
    <w:p>
      <w:pPr>
        <w:numPr>
          <w:ilvl w:val="0"/>
          <w:numId w:val="1"/>
        </w:numPr>
      </w:pPr>
      <w:r>
        <w:rPr/>
        <w:t xml:space="preserve">Прямые оценки качества регулирования.</w:t>
      </w:r>
    </w:p>
    <w:p>
      <w:pPr>
        <w:numPr>
          <w:ilvl w:val="0"/>
          <w:numId w:val="1"/>
        </w:numPr>
      </w:pPr>
      <w:r>
        <w:rPr/>
        <w:t xml:space="preserve">Косвенные оценки качества регулирования (корневой метод).</w:t>
      </w:r>
    </w:p>
    <w:p>
      <w:pPr>
        <w:numPr>
          <w:ilvl w:val="0"/>
          <w:numId w:val="1"/>
        </w:numPr>
      </w:pPr>
      <w:r>
        <w:rPr/>
        <w:t xml:space="preserve">Описание систем с помощью пространства состояний. Управляемость и наблюдаемость.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(14 часов) и самостоятельную работу обучающегося (94 часа). Перечень и краткое содержание этой работы студенты получают в начале семестра. Самостоятельная работа состоит в  самостоятельном изучении ряда вопросов дисциплины с подготовкой конспектов по ним.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практические занятия. </w:t>
      </w:r>
    </w:p>
    <w:p>
      <w:pPr/>
      <w:r>
        <w:rPr/>
        <w:t xml:space="preserve">Зачёт по дисциплине проводится в виде собеседования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занятия. 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текущая проверка знаний с помощью контрольных работ.</w:t>
      </w:r>
    </w:p>
    <w:p>
      <w:pPr/>
      <w:r>
        <w:rPr/>
        <w:t xml:space="preserve">Зачет проводится в соответствии с положением о зачетах и экзаменах ПетрГУ на основании списка вопросов.(см.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Ерофеев, А. А. Теория автоматического управления : учеб. для студентов вузов, обучающихся по направлениям "Автоматизация и упр.", "Систем. анализ и упр." / А. А. Ерофеев. - 2-е изд., доп. и перераб. - Санкт-Петербург : Политехника, 2005. - 302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Бесекерский, В. А. Теория систем автоматического управления / В.А. Бесекерский, Е.П. Попов. - Санкт-Петербург : Профессия, 2003. - 749 с.</w:t>
      </w:r>
    </w:p>
    <w:p>
      <w:pPr>
        <w:numPr>
          <w:ilvl w:val="0"/>
          <w:numId w:val="3"/>
        </w:numPr>
      </w:pPr>
      <w:r>
        <w:rPr/>
        <w:t xml:space="preserve">Теория автоматического управления : Учебник для студентов машиностроительных спец. вузов / Под ред. Ю.М. Соломенцева. - 3-е изд., стер. - Москва : Высшая школа, 2000. - 268 с.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4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4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5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6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</w:t>
      </w:r>
      <w:hyperlink r:id="rId7" w:history="1">
        <w:r>
          <w:rPr/>
          <w:t xml:space="preserve">http://library.petrsu.ru/collections/bd.shtml</w:t>
        </w:r>
      </w:hyperlink>
      <w:r>
        <w:rPr/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компьютерный класс для проведения лабораторных работ ауд. 204, пр. Ленина, 29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8"/>
        </w:numPr>
      </w:pPr>
      <w:r>
        <w:rPr/>
        <w:t xml:space="preserve">компьютерный класс для проведения лабораторных работ ауд. 204, пр. Ленина, 29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403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28FB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1B8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F93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CA8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028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2D1D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CC5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2026-04-21T08:08:09+03:00</dcterms:created>
  <dcterms:modified xsi:type="dcterms:W3CDTF">2026-04-21T08:08:09+03:00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