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правила оформления рекламационных актов;</w:t>
            </w:r>
          </w:p>
          <w:p/>
          <w:p>
            <w:pPr/>
            <w:r>
              <w:rPr/>
              <w:t xml:space="preserve">ПК-5.2.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ПК-5.3. Способен оформлять документацию по установленным формам (рекламационные акты);</w:t>
            </w:r>
          </w:p>
          <w:p/>
          <w:p>
            <w:pPr/>
            <w:r>
              <w:rPr/>
              <w:t xml:space="preserve">ПК-5.4. Способен вести статистику и отчетность по гарантийному ремонту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Инженерная графика,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транспортно-технологических машин и комплексов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часjd) и самостоятельную работу студента (94 часf).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A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0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E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47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C2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170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E66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31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A7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5C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D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AB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A5C9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3F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2026-04-21T08:08:23+03:00</dcterms:created>
  <dcterms:modified xsi:type="dcterms:W3CDTF">2026-04-21T08:08:23+03:00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