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И МАРКЕТИНГ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Составление плана работ подготовительного периода;</w:t>
            </w:r>
          </w:p>
          <w:p/>
          <w:p>
            <w:pPr/>
            <w:r>
              <w:rPr/>
              <w:t xml:space="preserve">ПК-7.2. Выбор метода производства строительно-монтажных работ;</w:t>
            </w:r>
          </w:p>
          <w:p/>
          <w:p>
            <w:pPr/>
            <w:r>
              <w:rPr/>
              <w:t xml:space="preserve">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</w:t>
            </w:r>
          </w:p>
          <w:p/>
          <w:p>
            <w:pPr/>
            <w:r>
              <w:rPr/>
              <w:t xml:space="preserve">ПК-7.4. Составление оперативного плана строительно-монтажных работ;</w:t>
            </w:r>
          </w:p>
          <w:p/>
          <w:p>
            <w:pPr/>
            <w:r>
              <w:rPr/>
              <w:t xml:space="preserve">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и маркетинг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7F7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2026-04-21T09:20:06+03:00</dcterms:created>
  <dcterms:modified xsi:type="dcterms:W3CDTF">2026-04-21T09:20:06+03:00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