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и русского как иностранного для медицинских специальностей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В СФЕРЕ ПРОФЕССИОНАЛЬНОЙ КОММУНИКАЦИИ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Соболева Анна Григорьевна.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в сфере профессиональной коммуникации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Части речи русского языка. Грамматические категории.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предмета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 предмета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предмета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предмета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Знаменательные и незнаменательные части речи русского языка. Грамматические категории.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Имя существительное. Род, число, падеж существительных. Существительные, называющие части тела. Строение скелета. Особенности изменения существительных.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Имя прилагательное. Род, число, падеж прилагательных. Образование сложных прилагательных. Словосочетание. Структура словосочетания. Образование анатомических терминов.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Глагол. Грамматические категории глагола. Строение предмета в целом. Конструкции со словами «состав», «строение», «структура». Вопросительные предложения без глагола и с глаголом. Как сказать о структуре предмета в целом и без деталей?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Предложение. Типы предложений по структуре. Как сообщить о наличии или отсутствии частей предмета? Предложения о наличии / отсутствии компонентов. Сложное предложение. Значение и употребление некоторых союзов и союзных слов.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Как сообщить об одном из компонентов предмета? Предложения с глаголом и без глагола. Грамматическая структура предложения. Информационный центр предложения.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Как сообщить о локализации структурной части предмета?  Предложения о локализации. Наречие. Предлог. Глаголы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Как сообщить о взаимном расположении предметов? Предложения о взаимном расположении предметов. Значение отглагольных существительных типа «соединение», «сочленение», «сращение». Причастие. Активные и пассивные конструкции предложения с причастием. Предлоги инструментального значения.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Предложения с причастными оборотами. Причастие. Причастный оборот. Предложение с двумя информативными центрами.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Как прилагательные и причастия обозначают форму предмета? Прилагательные, обозначающие форму. Пассивные причастия, обозначающие форму. Краткие прилагательные и причастия.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Как можно сообщить о форме предмета? Предложения о форме предмета.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Как сообщить о свойствах предмета? Прилагательные, причастия и существительные, сообщающие о свойствах. Предложения, содержащие информацию о свойствах.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Как сравнить предметы и их свойства? Предложения о сходстве предметов и их свойств. Предложения об отличии предметов и их свойств.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Как сказать о количественных параметрах предмета? Имя числительное. Грамматические категории числительных.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Как сказать о том, что свойство зависит от других факторов? Предложение с союзом «чем…, тем». Предложения с глаголами, обозначающими зависимость.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Слова, обозначающие процесс. Конструкции о процессе как свойстве предмета. Порядок слов в предложении о наличии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Как описать изменение процесса? Словосочетания, обозначающие условия изменения процесса. Глаголы, обозначающие изменение процесс.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Как сказать о зависимости процесса от другого процесса или предмета? Виды зависимости двух явлений. Синонимия предложений и словосочетаний о зависимости. Упрощение предложений с несколькими информативными центрами.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Какие словосочетания образует слово «функция»? Образование словосочетаний со словом «функция». Модель предложения со словом «функция». Синонимичные предложения о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Как сообщить о функции предмета? Обозначение функции в предложении. Варианты предложений о функции, содержащие существительные с функциональным значением.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Как сообщить о функции предмета с помощью причастного и деепричастного оборота? Причастие. Деепричастие. Образование и употребление деепричастий. Деепричастный оборот.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и научной литературой (чтение): Шелякин, М. А. Справочник по русской грамматике / М.А. Шелякин. - 2-е изд., испр. - Москва : Русский язык, 2000. - 356 с.  2. Работа с Интернет-ресурсами:  1) справочно-информационным порталом «Грамота.ру» http://www.gramota.ru/;  2) порталом «Словари.ру» http://www.slovari.ru/;  3) онлайн-энциклопедией «Кругосвет» http://www.krugosvet.ru. 3. Подготовка к написанию теста включает: - повторение теоретического материала;  - решение комплектов задач (Лукьянова, Л.В. Русский язык для иностранных студентов-медиков / Л.В. Лукьянова. – Санкт-Петербург : Златоуст, 2017. – 120 с.);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и научной литературой (чтение): Шелякин, М. А. Справочник по русской грамматике / М.А. Шелякин. - 2-е изд., испр. - Москва : Русский язык, 2000. - 356 с.  2. Работа с Интернет-ресурсами:  1) справочно-информационным порталом «Грамота.ру» http://www.gramota.ru/;  2) порталом «Словари.ру» http://www.slovari.ru/;  3) онлайн-энциклопедией «Кругосвет» http://www.krugosvet.ru. 3. Подготовка к написанию теста включает: - повторение теоретического материала;  - решение комплектов задач (Лукьянова, Л.В. Русский язык для иностранных студентов-медиков  / Л.В. Лукьянова. – Санкт-Петербург : Златоуст, 2017. – 120 с.);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и научной литературой (чтение): Шелякин, М. А. Справочник по русской грамматике / М.А. Шелякин. - 2-е изд., испр. - Москва : Русский язык, 2000. - 356 с.  2. Работа с Интернет-ресурсами:  1) справочно-информационным порталом «Грамота.ру» http://www.gramota.ru/;  2) порталом «Словари.ру» http://www.slovari.ru/;  3) онлайн-энциклопедией «Кругосвет» http://www.krugosvet.ru. 3. Подготовка к написанию теста включает: - повторение теоретического материала;  - решение комплектов задач (Лукьянова, Л.В. Русский язык для иностранных студентов-медиков / Л.В. Лукьянова. – Санкт-Петербург : Златоуст, 2017. – 120 с.);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и научной литературой (чтение): Шелякин, М. А. Справочник по русской грамматике / М.А. Шелякин. - 2-е изд., испр. - Москва : Русский язык, 2000. - 356 с.  2. Работа с Интернет-ресурсами:  1) справочно-информационным порталом «Грамота.ру» http://www.gramota.ru/;  2) порталом «Словари.ру» http://www.slovari.ru/;  3) онлайн-энциклопедией «Кругосвет» http://www.krugosvet.ru. 3. Подготовка к написанию теста включает: - повторение теоретического материала;  - решение комплектов задач (Лукьянова, Л.В. Русский язык для иностранных студентов-медиков / Л.В. Лукьянова. – Санкт-Петербург : Златоуст, 2017. – 120 с.);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и научной литературой (чтение): Шелякин, М. А. Справочник по русской грамматике / М.А. Шелякин. - 2-е изд., испр. - Москва : Русский язык, 2000. - 356 с.  2. Работа с Интернет-ресурсами:  1) справочно-информационным порталом «Грамота.ру» http://www.gramota.ru/;  2) порталом «Словари.ру» http://www.slovari.ru/;  3) онлайн-энциклопедией «Кругосвет» http://www.krugosvet.ru. 3. Подготовка к написанию теста включает: - повторение теоретического материала;  - решение комплектов задач (Лукьянова, Л.В. Русский язык для иностранных студентов-медиков / Л.В. Лукьянова. – Санкт-Петербург : Златоуст, 2017. – 120 с.);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и научной литературой (чтение): Шелякин, М. А. Справочник по русской грамматике / М.А. Шелякин. - 2-е изд., испр. - Москва : Русский язык, 2000. - 356 с.  2. Работа с Интернет-ресурсами:  1) справочно-информационным порталом «Грамота.ру» http://www.gramota.ru/;  2) порталом «Словари.ру» http://www.slovari.ru/;  3) онлайн-энциклопедией «Кругосвет» http://www.krugosvet.ru. 3. Подготовка к написанию теста включает: - повторение теоретического материала;  - решение комплектов задач (Лукьянова, Л.В. Русский язык для иностранных студентов-медиков / Л.В. Лукьянова. – Санкт-Петербург : Златоуст, 2017. – 120 с.);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</w:t>
      </w:r>
      <w:r>
        <w:rPr>
          <w:b w:val="1"/>
          <w:bCs w:val="1"/>
        </w:rPr>
        <w:t xml:space="preserve">пассивные: </w:t>
      </w:r>
      <w:r>
        <w:rPr/>
        <w:t xml:space="preserve">устный опрос, тестирование;</w:t>
      </w:r>
    </w:p>
    <w:p>
      <w:pPr/>
      <w:r>
        <w:rPr>
          <w:b w:val="1"/>
          <w:bCs w:val="1"/>
        </w:rPr>
        <w:t xml:space="preserve">- активные: </w:t>
      </w:r>
      <w:r>
        <w:rPr/>
        <w:t xml:space="preserve">самостоятельная работа обучающегося с литературой на бумажном носителе, с научными, учебными и справочными ресурсами сети Интернет и локальной сети учебного учреждения, выполнение заданий аналитического характера;</w:t>
      </w:r>
    </w:p>
    <w:p>
      <w:pPr/>
      <w:r>
        <w:rPr>
          <w:b w:val="1"/>
          <w:bCs w:val="1"/>
        </w:rPr>
        <w:t xml:space="preserve">- интерактивные: </w:t>
      </w:r>
      <w:r>
        <w:rPr/>
        <w:t xml:space="preserve">участие в практических (семинарских) занятиях, проектирование дискуссии, участие в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Общее количество заданий</w:t>
      </w:r>
      <w:r>
        <w:rPr/>
        <w:t xml:space="preserve"> 8.</w:t>
      </w:r>
    </w:p>
    <w:p>
      <w:pPr/>
      <w:r>
        <w:rPr/>
        <w:t xml:space="preserve">Количество вариантов</w:t>
      </w:r>
      <w:r>
        <w:rPr/>
        <w:t xml:space="preserve">: 2.</w:t>
      </w:r>
    </w:p>
    <w:p>
      <w:pPr/>
      <w:r>
        <w:rPr/>
        <w:t xml:space="preserve">В состав тестовых заданий входят</w:t>
      </w:r>
      <w:r>
        <w:rPr/>
        <w:t xml:space="preserve"> задания открытого типа.</w:t>
      </w:r>
    </w:p>
    <w:p>
      <w:pPr/>
      <w:r>
        <w:rPr/>
        <w:t xml:space="preserve">Пример тестового задания</w:t>
      </w:r>
    </w:p>
    <w:p>
      <w:pPr/>
    </w:p>
    <w:p>
      <w:pPr/>
      <w:r>
        <w:rPr>
          <w:i w:val="1"/>
          <w:iCs w:val="1"/>
        </w:rPr>
        <w:t xml:space="preserve">1. Образуйте множественное число существительных. Поставьте форму ед. и мн. ч. в Род. п.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Порядок оценивания</w:t>
      </w:r>
      <w:r>
        <w:rPr/>
        <w:t xml:space="preserve">: «</w:t>
      </w:r>
      <w:r>
        <w:rPr>
          <w:i w:val="1"/>
          <w:iCs w:val="1"/>
        </w:rPr>
        <w:t xml:space="preserve">зачтено / не зачтено»</w:t>
      </w:r>
      <w:r>
        <w:rPr/>
        <w:t xml:space="preserve">.</w:t>
      </w:r>
    </w:p>
    <w:p>
      <w:pPr/>
      <w:r>
        <w:rPr/>
        <w:t xml:space="preserve">«Зачтено» – обучающийся справился с большей частью заданий, умеет анализировать языковые явления.</w:t>
      </w:r>
    </w:p>
    <w:p>
      <w:pPr/>
      <w:r>
        <w:rPr/>
        <w:t xml:space="preserve">«Не зачтено» – обучающийся не справился с большей частью заданий, не умеет анализировать языковые явления.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Порядок получения допуска к промежуточной аттестации:</w:t>
      </w:r>
    </w:p>
    <w:p>
      <w:pPr/>
      <w:r>
        <w:rPr/>
        <w:t xml:space="preserve">1) регулярное посещение занятий (допускается не более 30% пропусков с условием обязательной последующей отработки пропущенных занятий до зачета);</w:t>
      </w:r>
    </w:p>
    <w:p>
      <w:pPr/>
      <w:r>
        <w:rPr/>
        <w:t xml:space="preserve">2) участие в работе на занятиях;</w:t>
      </w:r>
    </w:p>
    <w:p>
      <w:pPr/>
      <w:r>
        <w:rPr/>
        <w:t xml:space="preserve">3) выполнение заданий текущего контроля: </w:t>
      </w:r>
      <w:r>
        <w:rPr>
          <w:i w:val="1"/>
          <w:iCs w:val="1"/>
        </w:rPr>
        <w:t xml:space="preserve">решение комплектов задач</w:t>
      </w:r>
      <w:r>
        <w:rPr/>
        <w:t xml:space="preserve">, </w:t>
      </w:r>
      <w:r>
        <w:rPr>
          <w:i w:val="1"/>
          <w:iCs w:val="1"/>
        </w:rPr>
        <w:t xml:space="preserve">тест</w:t>
      </w:r>
      <w:r>
        <w:rPr/>
        <w:t xml:space="preserve"> – «зачтено».</w:t>
      </w:r>
      <w:r>
        <w:rPr/>
        <w:t xml:space="preserve"> </w:t>
      </w:r>
    </w:p>
    <w:p>
      <w:pPr/>
      <w:r>
        <w:rPr/>
        <w:t xml:space="preserve">В случае неаттестации обучающийся получает письменное задание по попущенному материалу и выполняет его дома. Сдает преподавателю в печатном виде. После проверки преподаватель назначает время для консультации и беседует с обучающимся. Если последний справился с предложенными заданиями, показал знание пропущенного материала, он допускается к зачету.</w:t>
      </w:r>
      <w:r>
        <w:rPr/>
        <w:t xml:space="preserve"> </w:t>
      </w:r>
    </w:p>
    <w:p>
      <w:pPr/>
      <w:r>
        <w:rPr/>
        <w:t xml:space="preserve">Зачет в 3 и 4 семестрах проводится в виде итоговых тестов, которые охватывают весь изученный материал (см. выше).</w:t>
      </w:r>
    </w:p>
    <w:p>
      <w:pPr/>
    </w:p>
    <w:p>
      <w:pPr/>
      <w:r>
        <w:rPr/>
        <w:t xml:space="preserve">Порядок оценивания</w:t>
      </w:r>
      <w:r>
        <w:rPr/>
        <w:t xml:space="preserve">: «зачтено/ не зачтено».</w:t>
      </w:r>
    </w:p>
    <w:p>
      <w:pPr/>
      <w:r>
        <w:rPr/>
        <w:t xml:space="preserve">«Зачтено» – выполнено 100% - 65% зданий,</w:t>
      </w:r>
    </w:p>
    <w:p>
      <w:pPr/>
      <w:r>
        <w:rPr/>
        <w:t xml:space="preserve">«не зачтено»</w:t>
      </w:r>
      <w:r>
        <w:rPr/>
        <w:t xml:space="preserve">  </w:t>
      </w:r>
      <w:r>
        <w:rPr/>
        <w:t xml:space="preserve">– выполнено менее 65% заданий.</w:t>
      </w:r>
    </w:p>
    <w:p>
      <w:pPr/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Для успешного освоения дисциплины обучающемуся необходимо посещать все контактные занятия, систематически и в полном объеме выполнять все задания для самостоятельной работы. Изучение дисциплины должно сопровождаться проработкой рекомендуемых разделов учебной литературы. Следует помнить, что все разделы и темы дисциплины являются в равной мере важными и часто взаимосвязаны. Для изучения дисциплины необходимо использовать учебники, учебные и учебно-методические пособия, справочную литературу, раскрывающую понятийный аппарат, интернет-сайты. Перечень рекомендуемой литературы и рекомендуемых источников представлен ниже.</w:t>
      </w:r>
      <w:r>
        <w:rPr/>
        <w:t xml:space="preserve"> </w:t>
      </w:r>
    </w:p>
    <w:p>
      <w:pPr/>
      <w:r>
        <w:rPr/>
        <w:t xml:space="preserve">2. При необходимости обучающемуся следует повторить отдельные теоретические сведения и практические навыки, полученные при изучении предшествующих курсов. Для формирования необходимых компетенций рекомендуется принимать активное участие в обсуждении ставящихся перед аудиторией вопросов.</w:t>
      </w:r>
      <w:r>
        <w:rPr/>
        <w:t xml:space="preserve"> </w:t>
      </w:r>
    </w:p>
    <w:p>
      <w:pPr/>
      <w:r>
        <w:rPr/>
        <w:t xml:space="preserve">3. При подготовке к практическим занятиям необходимо</w:t>
      </w:r>
      <w:r>
        <w:rPr/>
        <w:t xml:space="preserve"> </w:t>
      </w:r>
    </w:p>
    <w:p>
      <w:pPr/>
      <w:r>
        <w:rPr/>
        <w:t xml:space="preserve">а) тщательное изучение и повторение теоретического материала;</w:t>
      </w:r>
      <w:r>
        <w:rPr/>
        <w:t xml:space="preserve"> </w:t>
      </w:r>
    </w:p>
    <w:p>
      <w:pPr/>
      <w:r>
        <w:rPr/>
        <w:t xml:space="preserve">б) выполнение практических заданий.</w:t>
      </w:r>
    </w:p>
    <w:p>
      <w:pPr/>
      <w:r>
        <w:rPr/>
        <w:t xml:space="preserve">4. Для достижения поставленных целей преподавания дисциплины реализуются следующие средства, способы и организационные мероприятия:</w:t>
      </w:r>
      <w:r>
        <w:rPr/>
        <w:t xml:space="preserve"> </w:t>
      </w:r>
    </w:p>
    <w:p>
      <w:pPr/>
      <w:r>
        <w:rPr/>
        <w:t xml:space="preserve">а) изучение теоретического материала дисциплины с использованием компьютерных технологий; изучение теоретического материала дисциплин с использованием учебной, методической и научной литературы, Интернет-ресурсов;</w:t>
      </w:r>
      <w:r>
        <w:rPr/>
        <w:t xml:space="preserve"> </w:t>
      </w:r>
    </w:p>
    <w:p>
      <w:pPr/>
      <w:r>
        <w:rPr/>
        <w:t xml:space="preserve">б) закрепление теоретического материала при выполнении практических заданий;</w:t>
      </w:r>
      <w:r>
        <w:rPr/>
        <w:t xml:space="preserve"> </w:t>
      </w:r>
    </w:p>
    <w:p>
      <w:pPr/>
      <w:r>
        <w:rPr/>
        <w:t xml:space="preserve">в) консультации преподавателя.</w:t>
      </w:r>
    </w:p>
    <w:p>
      <w:pPr/>
      <w:r>
        <w:rPr/>
        <w:t xml:space="preserve">5. Самостоятельная работа обучающихся предполагает:</w:t>
      </w:r>
      <w:r>
        <w:rPr/>
        <w:t xml:space="preserve"> </w:t>
      </w:r>
    </w:p>
    <w:p>
      <w:pPr/>
      <w:r>
        <w:rPr/>
        <w:t xml:space="preserve">а) изучение рекомендованной учебной и научной литературы; подготовку практических заданий;</w:t>
      </w:r>
      <w:r>
        <w:rPr/>
        <w:t xml:space="preserve"> </w:t>
      </w:r>
    </w:p>
    <w:p>
      <w:pPr/>
      <w:r>
        <w:rPr/>
        <w:t xml:space="preserve">б) изучение лексикографических источников.</w:t>
      </w:r>
      <w:r>
        <w:rPr/>
        <w:t xml:space="preserve"> </w:t>
      </w:r>
    </w:p>
    <w:p>
      <w:pPr/>
      <w:r>
        <w:rPr/>
        <w:t xml:space="preserve">6. Формы контроля самостоятельной работы обучающихся:</w:t>
      </w:r>
    </w:p>
    <w:p>
      <w:pPr/>
      <w:r>
        <w:rPr/>
        <w:t xml:space="preserve">а) проверка выполнения практических заданий;</w:t>
      </w:r>
      <w:r>
        <w:rPr/>
        <w:t xml:space="preserve"> </w:t>
      </w:r>
    </w:p>
    <w:p>
      <w:pPr/>
      <w:r>
        <w:rPr/>
        <w:t xml:space="preserve">в) индивидуальное собеседование на консультациях.</w:t>
      </w:r>
      <w:r>
        <w:rPr/>
        <w:t xml:space="preserve"> </w:t>
      </w:r>
    </w:p>
    <w:p>
      <w:pPr/>
      <w:r>
        <w:rPr/>
        <w:t xml:space="preserve">7. Перечень учебно-методического обеспечения самостоятельной работы обучающегося.</w:t>
      </w:r>
    </w:p>
    <w:p>
      <w:pPr/>
      <w:r>
        <w:rPr/>
        <w:t xml:space="preserve">а) рекомендуемая литература (из приведенного ниже перечня);</w:t>
      </w:r>
    </w:p>
    <w:p>
      <w:pPr/>
      <w:r>
        <w:rPr/>
        <w:t xml:space="preserve">б) методические указания к практическим занятиям.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Познакомить обучающихся с основным и дополнительным списком литературы по изучаемой теме.</w:t>
      </w:r>
    </w:p>
    <w:p>
      <w:pPr/>
      <w:r>
        <w:rPr/>
        <w:t xml:space="preserve">2. Помочь обучающемуся осознанно подойти к анализу языкового материала, осмыслить методику изучения той или иной темы.</w:t>
      </w:r>
    </w:p>
    <w:p>
      <w:pPr/>
      <w:r>
        <w:rPr/>
        <w:t xml:space="preserve">3. После изучения материала проводить контрольную работу (тест).</w:t>
      </w:r>
      <w:r>
        <w:rPr/>
        <w:t xml:space="preserve"> </w:t>
      </w:r>
    </w:p>
    <w:p>
      <w:pPr/>
      <w:r>
        <w:rPr/>
        <w:t xml:space="preserve">4. Доводить до сведения обучающихся результаты контроля знаний для своевременной отработки необходимых навыков.</w:t>
      </w:r>
    </w:p>
    <w:p>
      <w:pPr/>
    </w:p>
    <w:p>
      <w:pPr/>
      <w:r>
        <w:rPr/>
        <w:t xml:space="preserve">Предложенные автором программы задания к практическим занятиям, контрольные работы и тесты могут быть заменены собственными материалами преподавателя, ведущего занятия вместо разработчика данной программы.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Грамматика русского языка : учебное пособие для студентов-иностранцев / Л.А. Константинова, Н.Н. Гончарова, А.Н. Жукова и др. ; под ред. Л.А. Константиновой. - 4-е изд., стер. - Москва : Издательство «Флинта», 2016. - 257 с.; То же [Электронный ресурс]. - URL: </w:t>
      </w:r>
      <w:hyperlink r:id="rId7" w:history="1">
        <w:r>
          <w:rPr/>
          <w:t xml:space="preserve">http://biblioclub.ru/index.php?page=book&amp;id=57960</w:t>
        </w:r>
      </w:hyperlink>
      <w:r>
        <w:rPr/>
        <w:t xml:space="preserve"> </w:t>
      </w:r>
    </w:p>
    <w:p>
      <w:pPr/>
      <w:r>
        <w:rPr/>
        <w:t xml:space="preserve">2. Лукьянова, Л.В. Русский язык для иностранных студентов-медиков / Л.В. Лукьянова. – Санкт-Петербург : Златоуст, 2017. – 120 с. (Фонд института).</w:t>
      </w:r>
    </w:p>
    <w:p>
      <w:pPr/>
      <w:r>
        <w:rPr/>
        <w:t xml:space="preserve">3. </w:t>
      </w:r>
      <w:r>
        <w:rPr/>
        <w:t xml:space="preserve">Шелякин, М. А. Справочник по русской грамматике / М.А. Шелякин. - 2-е изд., испр. - Москва : Русский язык, 2000. - 356 с.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Баркова, Т.П. Русская грамматика в таблицах : учебное пособие / Т.П. Баркова, М.В. Васюкова, Н.М. Немцова ; Министерство образования и науки Российской Федерации, Федеральное государственное бюджетное образовательное учреждение высшего образования «Тамбовский государственный технический университет». - Тамбов : Издательство ФГБОУ ВПО «ТГТУ», 2017. - 136 с.; То же [Электронный ресурс]. - URL: </w:t>
      </w:r>
      <w:hyperlink r:id="rId8" w:history="1">
        <w:r>
          <w:rPr/>
          <w:t xml:space="preserve">http://biblioclub.ru/index.php?page=book&amp;id=499288</w:t>
        </w:r>
      </w:hyperlink>
      <w:r>
        <w:rPr/>
        <w:t xml:space="preserve"> </w:t>
      </w:r>
    </w:p>
    <w:p>
      <w:pPr/>
      <w:r>
        <w:rPr/>
        <w:t xml:space="preserve">2. Головенкина, Е.В. Практикум по русскому языку как иностранному для студентов подготовительных факультетов вузов (гуманитарный профиль) : учебное пособие / Е.В. Головенкина, И.В. Супрунова; Новосибирский государственный технический университет. – Новосибирск : Новосибирский государственный технический университет, 2019. – 111 с.: табл. – Режим доступа: по подписке. – URL: </w:t>
      </w:r>
      <w:hyperlink r:id="rId9" w:history="1">
        <w:r>
          <w:rPr/>
          <w:t xml:space="preserve">https://biblioclub.ru/index.php?page=book&amp;id=576223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1. Электронный каталог Научной библиотеки ПетрГУ </w:t>
      </w:r>
      <w:hyperlink r:id="rId10" w:history="1">
        <w:r>
          <w:rPr/>
          <w:t xml:space="preserve">http://foliant.ru/catalog/psulibr</w:t>
        </w:r>
      </w:hyperlink>
      <w:r>
        <w:rPr/>
        <w:t xml:space="preserve"> </w:t>
      </w:r>
    </w:p>
    <w:p>
      <w:pPr/>
      <w:r>
        <w:rPr/>
        <w:t xml:space="preserve">2. 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/>
      <w:r>
        <w:rPr/>
        <w:t xml:space="preserve">4. Электронная библиотечная система «Консультант студента. Студенческая электронная библиотека» </w:t>
      </w:r>
      <w:hyperlink r:id="rId13" w:history="1">
        <w:r>
          <w:rPr/>
          <w:t xml:space="preserve">http://www.studentlibrary.ru</w:t>
        </w:r>
      </w:hyperlink>
    </w:p>
    <w:p>
      <w:pPr/>
      <w:r>
        <w:rPr/>
        <w:t xml:space="preserve">5. Раздел «Электронные журналы и базы данных» (кроме ресурсов тестового доступа) на сайте Научной библиотеки ПетрГУ </w:t>
      </w:r>
      <w:hyperlink r:id="rId14" w:history="1">
        <w:r>
          <w:rPr/>
          <w:t xml:space="preserve">http://library.petrsu.ru/collections/bd.shtml</w:t>
        </w:r>
      </w:hyperlink>
    </w:p>
    <w:p>
      <w:pPr/>
      <w:r>
        <w:rPr/>
        <w:t xml:space="preserve">6. Электронная библиотечная система «Большая научная библиотека» </w:t>
      </w:r>
      <w:hyperlink r:id="rId15" w:history="1">
        <w:r>
          <w:rPr/>
          <w:t xml:space="preserve">http://www.sci-lib.com</w:t>
        </w:r>
      </w:hyperlink>
    </w:p>
    <w:p>
      <w:pPr/>
      <w:r>
        <w:rPr/>
        <w:t xml:space="preserve">Программное обеспечение</w:t>
      </w:r>
      <w:r>
        <w:rPr/>
        <w:t xml:space="preserve"> 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Другие Интернет- ресурсы:</w:t>
      </w:r>
    </w:p>
    <w:p>
      <w:pPr/>
      <w:r>
        <w:rPr/>
        <w:t xml:space="preserve">1. </w:t>
      </w:r>
      <w:r>
        <w:rPr/>
        <w:t xml:space="preserve">Справочно-информационный портал «Грамота.ру» </w:t>
      </w:r>
      <w:hyperlink r:id="rId16" w:history="1">
        <w:r>
          <w:rPr/>
          <w:t xml:space="preserve">http://www.gramota.ru/</w:t>
        </w:r>
      </w:hyperlink>
      <w:r>
        <w:rPr/>
        <w:t xml:space="preserve">,</w:t>
      </w:r>
    </w:p>
    <w:p>
      <w:pPr/>
      <w:r>
        <w:rPr/>
        <w:t xml:space="preserve">2. Портал «Словари.ру» </w:t>
      </w:r>
      <w:hyperlink r:id="rId17" w:history="1">
        <w:r>
          <w:rPr/>
          <w:t xml:space="preserve">http://www.slovari.ru/</w:t>
        </w:r>
      </w:hyperlink>
      <w:r>
        <w:rPr>
          <w:b w:val="1"/>
          <w:bCs w:val="1"/>
        </w:rPr>
        <w:t xml:space="preserve"> </w:t>
      </w:r>
    </w:p>
    <w:p>
      <w:pPr/>
      <w:r>
        <w:rPr/>
        <w:t xml:space="preserve">3. Портал «Кругосвет» </w:t>
      </w:r>
      <w:hyperlink r:id="rId18" w:history="1">
        <w:r>
          <w:rPr/>
          <w:t xml:space="preserve">http://www.krugosvet.ru/</w:t>
        </w:r>
      </w:hyperlink>
      <w:r>
        <w:rPr/>
        <w:t xml:space="preserve">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A28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960" TargetMode="External"/><Relationship Id="rId8" Type="http://schemas.openxmlformats.org/officeDocument/2006/relationships/hyperlink" Target="http://biblioclub.ru/index.php?page=book&amp;id=499288" TargetMode="External"/><Relationship Id="rId9" Type="http://schemas.openxmlformats.org/officeDocument/2006/relationships/hyperlink" Target="https://biblioclub.ru/index.php?page=book&amp;id=576223" TargetMode="External"/><Relationship Id="rId10" Type="http://schemas.openxmlformats.org/officeDocument/2006/relationships/hyperlink" Target="http://foliant.ru/catalog/psulibr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" TargetMode="External"/><Relationship Id="rId14" Type="http://schemas.openxmlformats.org/officeDocument/2006/relationships/hyperlink" Target="http://library.petrsu.ru/collections/bd.shtml" TargetMode="External"/><Relationship Id="rId15" Type="http://schemas.openxmlformats.org/officeDocument/2006/relationships/hyperlink" Target="http://www.sci-lib.com" TargetMode="External"/><Relationship Id="rId16" Type="http://schemas.openxmlformats.org/officeDocument/2006/relationships/hyperlink" Target="http://www.gramota.ru/" TargetMode="External"/><Relationship Id="rId17" Type="http://schemas.openxmlformats.org/officeDocument/2006/relationships/hyperlink" Target="http://www.slovari.ru/" TargetMode="External"/><Relationship Id="rId18" Type="http://schemas.openxmlformats.org/officeDocument/2006/relationships/hyperlink" Target="http://www.krugosv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2026-04-21T03:56:18+03:00</dcterms:created>
  <dcterms:modified xsi:type="dcterms:W3CDTF">2026-04-21T03:56:18+03:00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