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РЕСТАВРАЦИЯ ЭЛЕМЕНТОВ ЗДАНИЙ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эффективно использовать традиционные и современные материалы, конструкции, технологии, инженерные системы при разработке решений по реконструкции и реставрации архитектурного наследия, проводить их экономическое обоснование, дополнительные исследования, связанные с поиском совершенствования экологических, композиционно-художественных, технологических и иных качеств архитектурно-исторической среды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Использование традиционных материалов конструкций, технологий, инженерных систем при разработке решений по реконструкции и реставрации архитектурного наследия;</w:t>
            </w:r>
          </w:p>
          <w:p/>
          <w:p>
            <w:pPr/>
            <w:r>
              <w:rPr/>
              <w:t xml:space="preserve">ПК-3.2. Использование современных материалов, конструкций, технологий, инженерных систем при разработке решений по реконструкции и реставрации архитектурного наследия;</w:t>
            </w:r>
          </w:p>
          <w:p/>
          <w:p>
            <w:pPr/>
            <w:r>
              <w:rPr/>
              <w:t xml:space="preserve">ПК-3.3. Выполнение экономического обоснования выбора материалов конструкций, технологий, инженерных систем.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Реставрация элементов зданий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29FC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2026-04-23T23:01:49+03:00</dcterms:created>
  <dcterms:modified xsi:type="dcterms:W3CDTF">2026-04-23T23:01:49+03:00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