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издержек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Макроэкономика,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Студентам предлагается проанализировать исторические школы экономистов и их последователей и определить основные направления экономических учений. Студентам предложены отдельные направления их высказываний, но основании изученного материала, нужно определить какому экономисту, какой школе оно принадлежит</w:t>
      </w:r>
    </w:p>
    <w:p/>
    <w:p>
      <w:pPr/>
      <w:r>
        <w:rPr/>
        <w:t xml:space="preserve">Кейс-задача</w:t>
      </w:r>
    </w:p>
    <w:p>
      <w:pPr/>
      <w:r>
        <w:rPr/>
        <w:t xml:space="preserve">Анализ матрицы потребностей и классификация основных потребностей по основным характеристикам Студенты выбирают любую потребность и разбирают ее соответственно матрице потребностей: Место в иерархии потребностей Что влияет на потребность Историческое место потребности Уровень удовлетворения Степень сопряженности Масштаб распространения Частота удовлетворения Природа возникновения Применяемость потребности Комплектность удовлетворения Отношение общества Способ удовлетворения</w:t>
      </w:r>
    </w:p>
    <w:p/>
    <w:p>
      <w:pPr/>
      <w:r>
        <w:rPr/>
        <w:t xml:space="preserve">Кейс-задача</w:t>
      </w:r>
    </w:p>
    <w:p>
      <w:pPr/>
      <w:r>
        <w:rPr/>
        <w:t xml:space="preserve">Студентам предлагается проанализировать рынок труде российских регионов. Рассчитать на основании статистических данных уровень безработицы на 3 года, провести сравнительный анализ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3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3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3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3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3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3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3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3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3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3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3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3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3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3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3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3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3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3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3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3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3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3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3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C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D313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3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3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A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D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76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2026-04-23T23:01:33+03:00</dcterms:created>
  <dcterms:modified xsi:type="dcterms:W3CDTF">2026-04-23T23:01:33+03:00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