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и маркетинг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и маркетинг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ОПК-4.1. Знает основные понятия и принципы,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современное аппаратное и программное обеспечение для решения задач профессиональной деятельности;</w:t>
            </w:r>
          </w:p>
          <w:p/>
          <w:p>
            <w:pPr/>
            <w:r>
              <w:rPr/>
              <w:t xml:space="preserve">ОПК-4.3. Владеет навыками использования современных информационно-коммуникационных технологий при решении типовых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Понятие моделирования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23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25</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массового обслуживания как инструмент анализа производственных процессов</w:t>
            </w:r>
          </w:p>
        </w:tc>
        <w:tc>
          <w:tcPr>
            <w:noWrap/>
          </w:tcPr>
          <w:p>
            <w:pPr>
              <w:jc w:val="left"/>
              <w:ind w:left="0" w:right="0" w:firstLine="0" w:hanging="0"/>
            </w:pPr>
            <w:r>
              <w:rPr/>
              <w:t xml:space="preserve">15</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29</w:t>
            </w:r>
          </w:p>
        </w:tc>
        <w:tc>
          <w:tcPr>
            <w:noWrap/>
          </w:tcPr>
          <w:p>
            <w:pPr>
              <w:jc w:val="left"/>
              <w:ind w:left="0" w:right="0" w:firstLine="0" w:hanging="0"/>
            </w:pPr>
            <w:r>
              <w:rPr/>
              <w:t xml:space="preserve">Контрольная работа; Лабораторная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Параметры и характеристики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Атрибуты и отчеты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Модели ветвящихся и многовариантных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Создание имитационной модели заданного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Выполнение имитационной модели и анализ результатов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11</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Частные модели ARIS</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задачи, решаемые с помощью eEPC-моделей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Уровни eEPC-моделирования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Параметры и характеристики систем масового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Сети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43</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34 часа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https://moodle2.petrsu.ru/. Перед изучением курса каждый студент регистрируется на сайте ПетрГУ  https://moodle2.petrsu.ru/.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промежуточного и финального тестов и от оценки за контрольную работу. Наибольшее влияние (50% оценки) оказывает финальный тест, выполняемый студентами на экзамене.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№2 "Атрибуты и отчеты"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№3 "Модели ветвящихся и многовариантных процессов"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№4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развернутое текстовое описание одного из производственных процессов, и выполняет построение eEPC-модели по данному описанию.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№5 "Создание имитационной модели заданного процесса"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Каждый студент получает индивидуальное задание, содержащее описание одного из производственных процессов, и выполняет по данному описанию построение имитационной модели в форме сети Петри.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№6 "Выполнение имитационной модели и анализ результатов"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В ходе работы осуществляется имитационный эксперимент с моделью, построенной входе лабораторной работы №5, анализируются полученные результаты.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Контрольная работа</w:t>
      </w:r>
    </w:p>
    <w:p>
      <w:pPr/>
      <w:r>
        <w:rPr/>
        <w:t xml:space="preserve">Контрольная работа предназначена для закрепления и углубления полученных знаний. 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Задания на выполнение контрольной работы  доступны в ДК на сервере Moodle ПетрГУ: </w:t>
      </w:r>
      <w:hyperlink r:id="rId7" w:history="1">
        <w:r>
          <w:rPr/>
          <w:t xml:space="preserve">https://moodle2.petrsu.ru/</w:t>
        </w:r>
      </w:hyperlink>
    </w:p>
    <w:p>
      <w:pPr/>
      <w:r>
        <w:rPr/>
        <w:t xml:space="preserve">Пример задания:</w:t>
      </w:r>
    </w:p>
    <w:p>
      <w:pPr/>
      <w:r>
        <w:rPr/>
        <w:t xml:space="preserve">ЗАДАЧА 1</w:t>
      </w:r>
    </w:p>
    <w:p>
      <w:pPr/>
      <w:r>
        <w:rPr/>
        <w:t xml:space="preserve">Исследовать процесс заготовки древесины бригадой, состоящей из вальщика, двух обрезчиков сучьев и трелевочного трактора ТЛТ-100.</w:t>
      </w:r>
      <w:br/>
      <w:r>
        <w:rPr/>
        <w:t xml:space="preserve">Вальщик тратит на валку одного дерева от 1 до 2,2 мин. Первый обрезчик затрачивает на одно дерево от 2,4 до 3,3 мин, второй – от 3 до 4,5 мин. Время обработки деревьев вальщиком и обрезчиками распределено равномерно.</w:t>
      </w:r>
      <w:br/>
      <w:r>
        <w:rPr/>
        <w:t xml:space="preserve">Время чокеровки одного дерева имеет показательный закон распределения с математическим ожиданием 1,2 мин.</w:t>
      </w:r>
      <w:br/>
      <w:r>
        <w:rPr/>
        <w:t xml:space="preserve">Трактор трелюет за один раз 24 хлыста и затрачивает на перемещение с делянки на верхний склад и на разгрузку в среднем 21 мин, а на возвращение – 7,5 мин. Закон распределения времени перемещений и разгрузки – показательный.</w:t>
      </w:r>
    </w:p>
    <w:p>
      <w:pPr/>
      <w:r>
        <w:rPr/>
        <w:t xml:space="preserve">Построить eEPC-модель технологии описанного процесса.</w:t>
      </w:r>
    </w:p>
    <w:p>
      <w:pPr/>
      <w:r>
        <w:rPr/>
        <w:t xml:space="preserve">Провести имитационное моделирование, соответствующее полному циклу обработки 240 деревьев.</w:t>
      </w:r>
    </w:p>
    <w:p>
      <w:pPr/>
      <w:r>
        <w:rPr/>
        <w:t xml:space="preserve">ЗАДАЧА 2</w:t>
      </w:r>
    </w:p>
    <w:p>
      <w:pPr>
        <w:numPr>
          <w:ilvl w:val="0"/>
          <w:numId w:val="1"/>
        </w:numPr>
      </w:pPr>
      <w:r>
        <w:rPr/>
        <w:t xml:space="preserve">Найти составную матрицу изменений для сети s1.</w:t>
      </w:r>
    </w:p>
    <w:p>
      <w:pPr>
        <w:numPr>
          <w:ilvl w:val="0"/>
          <w:numId w:val="1"/>
        </w:numPr>
      </w:pPr>
      <w:r>
        <w:rPr/>
        <w:t xml:space="preserve">Составить граф сети Петри, соответствующий матрице s2.</w:t>
      </w:r>
    </w:p>
    <w:p>
      <w:pPr>
        <w:numPr>
          <w:ilvl w:val="0"/>
          <w:numId w:val="1"/>
        </w:numPr>
      </w:pPr>
      <w:r>
        <w:rPr/>
        <w:t xml:space="preserve">Найти составную матрицу изменений и составить граф объединения сетей.</w:t>
      </w:r>
    </w:p>
    <w:p>
      <w:pPr>
        <w:numPr>
          <w:ilvl w:val="0"/>
          <w:numId w:val="1"/>
        </w:numPr>
      </w:pPr>
      <w:r>
        <w:rPr/>
        <w:t xml:space="preserve">Найти составную матрицу изменений и составить граф пересечения сетей.</w:t>
      </w:r>
    </w:p>
    <w:p>
      <w:pPr>
        <w:numPr>
          <w:ilvl w:val="0"/>
          <w:numId w:val="1"/>
        </w:numPr>
      </w:pPr>
      <w:r>
        <w:rPr/>
        <w:t xml:space="preserve">Найти составную матрицу изменений и составить граф разности сетей .</w:t>
      </w:r>
    </w:p>
    <w:p>
      <w:pPr/>
      <w:r>
        <w:rPr/>
        <w:t xml:space="preserve">Граф сети s1:</w:t>
      </w:r>
    </w:p>
    <w:p>
      <w:pPr/>
      <w:r>
        <w:rPr/>
        <w:t xml:space="preserve"> </w:t>
      </w:r>
    </w:p>
    <w:p>
      <w:pPr/>
      <w:r>
        <w:rPr/>
        <w:t xml:space="preserve">Определить интенсивность обслуживания</w:t>
      </w:r>
    </w:p>
    <w:p/>
    <w:p>
      <w:pPr/>
      <w:r>
        <w:rPr/>
        <w:t xml:space="preserve">Тест</w:t>
      </w:r>
    </w:p>
    <w:p>
      <w:pPr/>
      <w:r>
        <w:rPr/>
        <w:t xml:space="preserve">Промежуточный тест выполняется студентами в середине семестра.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w:t>
      </w:r>
      <w:hyperlink r:id="rId7" w:history="1">
        <w:r>
          <w:rPr/>
          <w:t xml:space="preserve">https://moodle2.petrsu.ru/</w:t>
        </w:r>
      </w:hyperlink>
    </w:p>
    <w:p>
      <w:pPr/>
      <w:r>
        <w:rPr/>
        <w:t xml:space="preserve"> </w:t>
      </w:r>
    </w:p>
    <w:p>
      <w:pPr/>
      <w:r>
        <w:rPr/>
        <w:t xml:space="preserve">Пример тестового вопроса:</w:t>
      </w:r>
    </w:p>
    <w:p>
      <w:pPr/>
      <w:r>
        <w:rPr/>
        <w:t xml:space="preserve"> </w:t>
      </w:r>
    </w:p>
    <w:p>
      <w:pPr/>
      <w:r>
        <w:rPr/>
        <w:t xml:space="preserve">Какое понятие является синонимом понятия "реинжиниринг"?</w:t>
      </w:r>
    </w:p>
    <w:p>
      <w:pPr/>
      <w:r>
        <w:rPr/>
        <w:t xml:space="preserve"> </w:t>
      </w:r>
    </w:p>
    <w:tbl>
      <w:tblGrid>
        <w:gridCol/>
        <w:gridCol w:w="690" w:type="dxa"/>
        <w:gridCol/>
      </w:tblGrid>
      <w:tblPr>
        <w:tblW w:w="0" w:type="auto"/>
        <w:tblLayout w:type="autofit"/>
      </w:tblPr>
      <w:tr>
        <w:trPr/>
        <w:tc>
          <w:tcPr>
            <w:noWrap/>
          </w:tcPr>
          <w:p>
            <w:pPr/>
            <w:r>
              <w:rPr/>
              <w:t xml:space="preserve"> </w:t>
            </w:r>
          </w:p>
        </w:tc>
        <w:tc>
          <w:tcPr>
            <w:tcW w:w="690" w:type="dxa"/>
            <w:noWrap/>
          </w:tcPr>
          <w:p>
            <w:pPr/>
            <w:r>
              <w:rPr/>
              <w:t xml:space="preserve">a.</w:t>
            </w:r>
          </w:p>
        </w:tc>
        <w:tc>
          <w:tcPr>
            <w:noWrap/>
          </w:tcPr>
          <w:p>
            <w:pPr/>
            <w:r>
              <w:rPr/>
              <w:t xml:space="preserve">Кардинальное совершенствование  </w:t>
            </w:r>
          </w:p>
        </w:tc>
      </w:tr>
      <w:tr>
        <w:trPr/>
        <w:tc>
          <w:tcPr>
            <w:noWrap/>
          </w:tcPr>
          <w:p>
            <w:pPr/>
            <w:r>
              <w:rPr/>
              <w:t xml:space="preserve"> </w:t>
            </w:r>
          </w:p>
        </w:tc>
        <w:tc>
          <w:tcPr>
            <w:tcW w:w="690" w:type="dxa"/>
            <w:noWrap/>
          </w:tcPr>
          <w:p>
            <w:pPr/>
            <w:r>
              <w:rPr/>
              <w:t xml:space="preserve">b.</w:t>
            </w:r>
          </w:p>
        </w:tc>
        <w:tc>
          <w:tcPr>
            <w:noWrap/>
          </w:tcPr>
          <w:p>
            <w:pPr/>
            <w:r>
              <w:rPr/>
              <w:t xml:space="preserve">Постепенное совершенствование  </w:t>
            </w:r>
          </w:p>
        </w:tc>
      </w:tr>
      <w:tr>
        <w:trPr/>
        <w:tc>
          <w:tcPr>
            <w:noWrap/>
          </w:tcPr>
          <w:p>
            <w:pPr/>
            <w:r>
              <w:rPr/>
              <w:t xml:space="preserve"> </w:t>
            </w:r>
          </w:p>
        </w:tc>
        <w:tc>
          <w:tcPr>
            <w:tcW w:w="690" w:type="dxa"/>
            <w:noWrap/>
          </w:tcPr>
          <w:p>
            <w:pPr/>
            <w:r>
              <w:rPr/>
              <w:t xml:space="preserve">c.</w:t>
            </w:r>
          </w:p>
        </w:tc>
        <w:tc>
          <w:tcPr>
            <w:noWrap/>
          </w:tcPr>
          <w:p>
            <w:pPr/>
            <w:r>
              <w:rPr/>
              <w:t xml:space="preserve">Методология управления процессами  </w:t>
            </w:r>
          </w:p>
        </w:tc>
      </w:tr>
    </w:tbl>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 </w:t>
      </w:r>
    </w:p>
    <w:p>
      <w:pPr/>
      <w:r>
        <w:rPr/>
        <w:t xml:space="preserve">Пример тестового вопроса:</w:t>
      </w:r>
    </w:p>
    <w:p>
      <w:pPr/>
      <w:r>
        <w:rPr/>
        <w:t xml:space="preserve"> </w:t>
      </w:r>
    </w:p>
    <w:p>
      <w:pPr/>
      <w:r>
        <w:rPr/>
        <w:t xml:space="preserve">Сколько уровней содержит обобщенная схема управления процессами?</w:t>
      </w:r>
    </w:p>
    <w:tbl>
      <w:tblGrid>
        <w:gridCol/>
        <w:gridCol w:w="690" w:type="dxa"/>
        <w:gridCol w:w="2475" w:type="dxa"/>
      </w:tblGrid>
      <w:tblPr>
        <w:tblW w:w="0" w:type="auto"/>
        <w:tblLayout w:type="autofit"/>
      </w:tblPr>
      <w:tr>
        <w:trPr/>
        <w:tc>
          <w:tcPr>
            <w:noWrap/>
          </w:tcPr>
          <w:p>
            <w:pPr/>
            <w:r>
              <w:rPr/>
              <w:t xml:space="preserve"> </w:t>
            </w:r>
          </w:p>
        </w:tc>
        <w:tc>
          <w:tcPr>
            <w:tcW w:w="690" w:type="dxa"/>
            <w:noWrap/>
          </w:tcPr>
          <w:p>
            <w:pPr/>
            <w:r>
              <w:rPr/>
              <w:t xml:space="preserve">a.</w:t>
            </w:r>
          </w:p>
        </w:tc>
        <w:tc>
          <w:tcPr>
            <w:tcW w:w="2475" w:type="dxa"/>
            <w:noWrap/>
          </w:tcPr>
          <w:p>
            <w:pPr/>
            <w:r>
              <w:rPr/>
              <w:t xml:space="preserve">2  </w:t>
            </w:r>
          </w:p>
        </w:tc>
      </w:tr>
      <w:tr>
        <w:trPr/>
        <w:tc>
          <w:tcPr>
            <w:noWrap/>
          </w:tcPr>
          <w:p>
            <w:pPr/>
            <w:r>
              <w:rPr/>
              <w:t xml:space="preserve"> </w:t>
            </w:r>
          </w:p>
        </w:tc>
        <w:tc>
          <w:tcPr>
            <w:tcW w:w="690" w:type="dxa"/>
            <w:noWrap/>
          </w:tcPr>
          <w:p>
            <w:pPr/>
            <w:r>
              <w:rPr/>
              <w:t xml:space="preserve">b.</w:t>
            </w:r>
          </w:p>
        </w:tc>
        <w:tc>
          <w:tcPr>
            <w:tcW w:w="2475" w:type="dxa"/>
            <w:noWrap/>
          </w:tcPr>
          <w:p>
            <w:pPr/>
            <w:r>
              <w:rPr/>
              <w:t xml:space="preserve">3  </w:t>
            </w:r>
          </w:p>
        </w:tc>
      </w:tr>
      <w:tr>
        <w:trPr/>
        <w:tc>
          <w:tcPr>
            <w:noWrap/>
          </w:tcPr>
          <w:p>
            <w:pPr/>
            <w:r>
              <w:rPr/>
              <w:t xml:space="preserve"> </w:t>
            </w:r>
          </w:p>
        </w:tc>
        <w:tc>
          <w:tcPr>
            <w:tcW w:w="690" w:type="dxa"/>
            <w:noWrap/>
          </w:tcPr>
          <w:p>
            <w:pPr/>
            <w:r>
              <w:rPr/>
              <w:t xml:space="preserve">c.</w:t>
            </w:r>
          </w:p>
        </w:tc>
        <w:tc>
          <w:tcPr>
            <w:tcW w:w="2475" w:type="dxa"/>
            <w:noWrap/>
          </w:tcPr>
          <w:p>
            <w:pPr/>
            <w:r>
              <w:rPr/>
              <w:t xml:space="preserve">4  </w:t>
            </w:r>
          </w:p>
        </w:tc>
      </w:tr>
      <w:tr>
        <w:trPr/>
        <w:tc>
          <w:tcPr>
            <w:noWrap/>
          </w:tcPr>
          <w:p>
            <w:pPr/>
            <w:r>
              <w:rPr/>
              <w:t xml:space="preserve"> </w:t>
            </w:r>
          </w:p>
        </w:tc>
        <w:tc>
          <w:tcPr>
            <w:tcW w:w="690" w:type="dxa"/>
            <w:noWrap/>
          </w:tcPr>
          <w:p>
            <w:pPr/>
            <w:r>
              <w:rPr/>
              <w:t xml:space="preserve">d.</w:t>
            </w:r>
          </w:p>
        </w:tc>
        <w:tc>
          <w:tcPr>
            <w:tcW w:w="2475" w:type="dxa"/>
            <w:noWrap/>
          </w:tcPr>
          <w:p>
            <w:pPr/>
            <w:r>
              <w:rPr/>
              <w:t xml:space="preserve">5  </w:t>
            </w:r>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экзамен.</w:t>
      </w:r>
    </w:p>
    <w:p>
      <w:pPr/>
      <w:r>
        <w:rPr/>
        <w:t xml:space="preserve">Лекции проходят с начала семестра еженедельно. Лабораторные занятия проходят раз в две недели в компьютерном классе. Три задачи контрольной работы выполняются в течение семестра по мере освоения необходимого материала. Кроме того, предполагается промежуточное тестирование, проводимое на одном из лабораторном занятии или дистанционно.</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задания к лабораторным и контрольной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контрольную работу.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«Мои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r>
        <w:rPr/>
        <w:t xml:space="preserve"> </w:t>
      </w:r>
    </w:p>
    <w:p>
      <w:pPr/>
      <w:r>
        <w:rPr>
          <w:b w:val="1"/>
          <w:bCs w:val="1"/>
        </w:rPr>
        <w:t xml:space="preserve">Контрольная работа</w:t>
      </w:r>
    </w:p>
    <w:p>
      <w:pPr/>
      <w:r>
        <w:rPr/>
        <w:t xml:space="preserve">Контрольная работа выполняется в соответствии с заданием, варианты которых находятся в соответствующем разделе ДК. Список студентов с указанием варианта для каждого из них также находится в этом разделе ДК. Работы, выполненные студентом по чужому варианту, к проверке не принимаются.</w:t>
      </w:r>
    </w:p>
    <w:p>
      <w:pPr/>
      <w:r>
        <w:rPr/>
        <w:t xml:space="preserve">Контрольные работы выполняются на листах А4 и оформляются в соответствии с СО ПетрГУ 001-19. Решение задач должно быть полным, содержать все формулы в общем виде, все выкладки, подстановки, промежуточные результаты, соответствующие схемы и таблицы и т. п.</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еженедельно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На 4 и 5 лекциях у для иллюстрации лекционного материала потребуется плакат с примером модели рассматриваемого производственного процесса (плакат находится в ауд. 212).</w:t>
      </w:r>
    </w:p>
    <w:p>
      <w:pPr/>
      <w:r>
        <w:rPr/>
        <w:t xml:space="preserve">В течение семестра на лекциях проводится контроль посещаемости.  Число пропусков заносится в систему учета работы студентов Moodle и влияет на окончательную оценку.</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Лабораторные занятия проходят раз в две недели. Занятия проводятся в компьютерном классе (ауд. 212). На компьютерах должны быть установлены пакеты программ ARIS, HPSim, Excel и Word.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Каждый студент выполняет на лабораторных индивидуальные задания. Разработано 30 вариантов заданий, которые доступны в одноименном ДК на сервере Moodle ПетрГУ. Перед началом лабораторных занятий необходимо назначить каждому студенту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Как правило, на одном из лабораторных занятий в середине семестра проводится промежуточное тестирование знаний студентов. При этом используется созданный в ДК Moodle инструмент «Промежуточный тест».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 Результат теста оказывает влияние на финальную оценку с весовым коэффициентом 0,2.</w:t>
      </w:r>
    </w:p>
    <w:p>
      <w:pPr/>
      <w:r>
        <w:rPr/>
        <w:t xml:space="preserve">  </w:t>
      </w:r>
    </w:p>
    <w:p>
      <w:pPr/>
      <w:r>
        <w:rPr>
          <w:b w:val="1"/>
          <w:bCs w:val="1"/>
        </w:rPr>
        <w:t xml:space="preserve">Контрольная работа</w:t>
      </w:r>
    </w:p>
    <w:p>
      <w:pPr/>
      <w:r>
        <w:rPr/>
        <w:t xml:space="preserve">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контрольные работы. Остальные факторы оказывают меньшее влияние (см. выше).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Петрозаводск : Изд-во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w:t>
      </w:r>
      <w:hyperlink r:id="rId8" w:history="1">
        <w:r>
          <w:rPr/>
          <w:t xml:space="preserve">http://elibrary.karelia.ru/</w:t>
        </w:r>
      </w:hyperlink>
    </w:p>
    <w:p>
      <w:pPr>
        <w:numPr>
          <w:ilvl w:val="0"/>
          <w:numId w:val="4"/>
        </w:numPr>
      </w:pPr>
      <w:r>
        <w:rPr/>
        <w:t xml:space="preserve">Электронная библиотечная система «Университетская библиотека онлайн» http://biblioclub.ru/</w:t>
      </w:r>
    </w:p>
    <w:p>
      <w:pPr>
        <w:numPr>
          <w:ilvl w:val="0"/>
          <w:numId w:val="4"/>
        </w:numPr>
      </w:pPr>
      <w:r>
        <w:rPr/>
        <w:t xml:space="preserve">Электронная библиотечная система «Консультант студента. Студенческая электронная библиотека» http://www.studentlibrary.ru</w:t>
      </w:r>
    </w:p>
    <w:p>
      <w:pPr/>
      <w:r>
        <w:rPr/>
        <w:t xml:space="preserve">другие базы данных, размещенные на сайте Научной библиотеки ПетрГУ в разделе «Электронные журналы и базы данных» </w:t>
      </w:r>
      <w:hyperlink r:id="rId9" w:history="1">
        <w:r>
          <w:rPr/>
          <w:t xml:space="preserve">http://library.petrsu.ru/collections/bd.shtml</w:t>
        </w:r>
      </w:hyperlink>
      <w:r>
        <w:rPr/>
        <w:t xml:space="preserve"> .</w:t>
      </w:r>
    </w:p>
    <w:p>
      <w:pPr>
        <w:numPr>
          <w:ilvl w:val="0"/>
          <w:numId w:val="5"/>
        </w:numPr>
      </w:pPr>
      <w:r>
        <w:rPr/>
        <w:t xml:space="preserve">Пакет программ ARISToolset 5.0</w:t>
      </w:r>
    </w:p>
    <w:p>
      <w:pPr>
        <w:numPr>
          <w:ilvl w:val="0"/>
          <w:numId w:val="5"/>
        </w:numPr>
      </w:pPr>
      <w:r>
        <w:rPr/>
        <w:t xml:space="preserve">Пакет программ HPSim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6"/>
        </w:numPr>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w:t>
        </w:r>
      </w:hyperlink>
    </w:p>
    <w:p>
      <w:pPr>
        <w:numPr>
          <w:ilvl w:val="0"/>
          <w:numId w:val="6"/>
        </w:numPr>
      </w:pPr>
      <w:r>
        <w:rPr/>
        <w:t xml:space="preserve">Рабочая программа дисциплины «Моделирование производственных процессов»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BC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738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0E6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11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9A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E9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5C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302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 Id="rId8" Type="http://schemas.openxmlformats.org/officeDocument/2006/relationships/hyperlink" Target="http://elibrary.karelia.ru/" TargetMode="External"/><Relationship Id="rId9"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2026-04-21T02:09:02+03:00</dcterms:created>
  <dcterms:modified xsi:type="dcterms:W3CDTF">2026-04-21T02:09:02+03:00</dcterms:modified>
</cp:coreProperties>
</file>

<file path=docProps/custom.xml><?xml version="1.0" encoding="utf-8"?>
<Properties xmlns="http://schemas.openxmlformats.org/officeDocument/2006/custom-properties" xmlns:vt="http://schemas.openxmlformats.org/officeDocument/2006/docPropsVTypes"/>
</file>