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13, 1, 22,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Русского государства в период феодальной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древнерусское государство и право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Российской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Советской России (1917-1920)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1920-е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 (1941-1945)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курсовая работа,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Особенности государственного устройства Русского государства в период сословно-представительной монархии.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Реформы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Государственный строй Новгородской республики. 2.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древнерусского государства. 2. Государственный строй. 3. Правовое положение населения. 4. Древнерусское право.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Губернская реформа Екатерины II. 3. Государственные реформы Александра I и Николая I. 4. &amp;quot;Великие реформы&amp;quot; 2-й пол. XIX в. 5. Право империи.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II съезд Советов. 2. Слом старого и создание советского государственного аппарата. 3.Коренные изменения в общественном строе. 4. Создание основ советского права.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аппарате в 30-е гг. Становление авторитарного  государства. 2. Особенности развития советского права в 1930-е гг. 3. Внесудебные органы и репрессии 30-х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Образование СССР. 2. 1-я кодификация и систематизация  советского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Изменения в государственном управлении в сер. 50-60-х гг. 2. Начало 2-й кодификации законодательства СССР и РСФСР. 4. Восстановление социалистической законности.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функционирования советского государства и права в условиях 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тяжб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&amp;quot;Русская Правда&amp;quot;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1-я советская 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1-й советский КЗАГС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практ. занятию 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 по предмету используются элементы деловой игры (оказание юридической консультации; вынесение судебного решения; решение казусов)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происходит на практическом занятии по соответствующей теме и вопросам темы. 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1. Для подготовки к </w:t>
      </w:r>
      <w:r>
        <w:rPr>
          <w:b w:val="1"/>
          <w:bCs w:val="1"/>
        </w:rPr>
        <w:t xml:space="preserve">практическим занятиям</w:t>
      </w:r>
      <w:r>
        <w:rPr/>
        <w:t xml:space="preserve"> по Истории государства и права России (ИГПР) студенту следует руководствоваться следующими учебно-методическими работами:</w:t>
      </w:r>
    </w:p>
    <w:p>
      <w:pPr/>
      <w:r>
        <w:rPr/>
        <w:t xml:space="preserve">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В.В. Ефимова. Петрозаводск: изд-во ПетрГУ, 2004. - 72 с.</w:t>
      </w:r>
    </w:p>
    <w:p>
      <w:pPr/>
      <w:r>
        <w:rPr/>
        <w:t xml:space="preserve">История отечественного государства и права. Учебно-методические указания по учебному курсу / сост. В.В. Ефимова. Петрозаводск: изд-во ПетрГУ, 2005. - 65 с.</w:t>
      </w:r>
    </w:p>
    <w:p>
      <w:pPr/>
      <w:r>
        <w:rPr/>
        <w:t xml:space="preserve">(указаны темы и конкретные вопросы практических занятий по дореволюционному и послереволюционному периоду (с 1917 г.), основная литература для подготовки к занятию)</w:t>
      </w:r>
    </w:p>
    <w:p>
      <w:pPr/>
      <w:r>
        <w:rPr/>
        <w:t xml:space="preserve">2. Для подготовки </w:t>
      </w:r>
      <w:r>
        <w:rPr>
          <w:b w:val="1"/>
          <w:bCs w:val="1"/>
        </w:rPr>
        <w:t xml:space="preserve">к экзамену</w:t>
      </w:r>
      <w:r>
        <w:rPr/>
        <w:t xml:space="preserve"> по ИГПР студенту следует использовать:</w:t>
      </w:r>
    </w:p>
    <w:p>
      <w:pPr/>
      <w:r>
        <w:rPr/>
        <w:t xml:space="preserve">- записанные им по предмету лекции на занятиях;</w:t>
      </w:r>
    </w:p>
    <w:p>
      <w:pPr/>
      <w:r>
        <w:rPr/>
        <w:t xml:space="preserve">- пособие : История отечественного государства и права. Методические указания для подготовки к экзамену студентов заочного отделения / сост. В.В. Ефимова. Петрозаводск: изд-во ПетрГУ, 2006. - 122 с.</w:t>
      </w:r>
    </w:p>
    <w:p>
      <w:pPr/>
      <w:r>
        <w:rPr/>
        <w:t xml:space="preserve">- любой учебник по ИГПР (выданный в читальном зале Института экономики и права (ИЭП) или любой учебник, находящийся в свободном доступе в Интернете (но не старше 2009 г. издания)  </w:t>
      </w:r>
    </w:p>
    <w:p>
      <w:pPr/>
      <w:r>
        <w:rPr/>
        <w:t xml:space="preserve">3. Для написания </w:t>
      </w:r>
      <w:r>
        <w:rPr>
          <w:b w:val="1"/>
          <w:bCs w:val="1"/>
        </w:rPr>
        <w:t xml:space="preserve">курсовых работ</w:t>
      </w:r>
      <w:r>
        <w:rPr/>
        <w:t xml:space="preserve"> по ИГПР студенту следует руководствоваться :</w:t>
      </w:r>
    </w:p>
    <w:p>
      <w:pPr/>
      <w:r>
        <w:rPr/>
        <w:t xml:space="preserve">пособием: История государства и права России. Методические указания по написанию курсовых работ для студентов юридического факультета Петрозаводского государственного факультета. / сост. В.В. Ефимова. Петрозаводск: изд-во ПетрГУ, 2002. - 37 с.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работе с памятниками права ориентироваться на учебно-методическое пособие по ИГПР (для семинарских занятий) Петрозаводск, 2004.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 практическим занятиям:</w:t>
      </w:r>
    </w:p>
    <w:p>
      <w:pPr/>
      <w:r>
        <w:rPr/>
        <w:t xml:space="preserve">1. Хрестоматия по Истории государства и права России (досоветский и советский периоды) (выдается в чит. зале ИЭП)</w:t>
      </w:r>
    </w:p>
    <w:p>
      <w:pPr/>
      <w:r>
        <w:rPr/>
        <w:t xml:space="preserve">2. Учебники по  Истории государства и права России (выдается в читальном зале ИЭП; Электронная библиотечная система "Университетская библиотека онлайн" и "Юрайт")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аудитории для проведения лекционных и практических занятий, оснащенная мультимедийным оборудованием для демонстрации презентаций по материалам лекций.</w:t>
      </w:r>
    </w:p>
    <w:p>
      <w:pPr/>
      <w:r>
        <w:rPr/>
        <w:t xml:space="preserve">библиотека с читальным залом для самостоятельной работы обучающегося, оснащенная компьютером с выходом в Интернет; книжный фонд специализированной учебной и научной литературы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2175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2026-04-23T11:59:12+03:00</dcterms:created>
  <dcterms:modified xsi:type="dcterms:W3CDTF">2026-04-23T11:59:12+03:00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