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2023-2027</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физической культуры, спорта и туризма</w:t>
      </w:r>
    </w:p>
    <w:p>
      <w:pPr>
        <w:spacing w:before="0" w:after="0"/>
      </w:pPr>
      <w:pPr>
        <w:rPr>
          <w:sz w:val="24"/>
          <w:szCs w:val="24"/>
        </w:rPr>
      </w:pPr>
    </w:p>
    <w:p>
      <w:pPr>
        <w:jc w:val="center"/>
        <w:ind w:left="0" w:right="0" w:firstLine="0" w:hanging="0"/>
        <w:spacing w:before="0" w:after="0"/>
      </w:pPr>
      <w:r>
        <w:rPr>
          <w:sz w:val="28"/>
          <w:szCs w:val="28"/>
        </w:rPr>
        <w:t xml:space="preserve">Кафедра физической культуры</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2023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ФИЗИЧЕСКАЯ КУЛЬТУРА И СПОРТ</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45.03.01 Филология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«Английский язык и литература, немецкий язык»</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2023</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12.08.2020 г. № 986 (с изменениями от 27.02.2023 г. №208, от 19.07.2022 №662, 26.11.2020 №1456) и учебным планом по направлению подготовки бакалавриата 45.03.01 Филология  (профиль «Английский язык и литература, немецкий язык»).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Соловьева Наталья Викторовна, старший преподаватель, кафедра физической культуры.</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УК-7
Начальный, Основной, Итоговый</w:t>
            </w:r>
          </w:p>
        </w:tc>
        <w:tc>
          <w:tcPr>
            <w:tcW w:w="4000" w:type="dxa"/>
            <w:noWrap/>
          </w:tcPr>
          <w:p>
            <w:pPr>
              <w:jc w:val="numTab"/>
              <w:ind w:left="0" w:right="0" w:firstLine="0" w:hanging="0"/>
            </w:pPr>
            <w:r>
              <w:rPr/>
              <w:t xml:space="preserve">Способен поддерживать должный уровень физической подготовленности для обеспечения полноценной социальной и профессиональной деятельности</w:t>
            </w:r>
            <w:br/>
            <w:br/>
            <w:r>
              <w:rPr>
                <w:b w:val="1"/>
                <w:bCs w:val="1"/>
              </w:rPr>
              <w:t xml:space="preserve">Комментарий:</w:t>
            </w:r>
            <w:br/>
            <w:r>
              <w:rPr/>
              <w:t xml:space="preserve">В результате освоения дисциплины обучающийся должен:
Знать:
основные средства и методы физической культуры,
социально-биологические основы физического воспитания,
принципы и закономерности воспитания и совершенствования физических качеств;
способы контроля и самоконтроля,
способы оценки физического развития и физической подготовленности;
роль двигательной активности в укреплении здоровья.
Уметь:
подбирать и применять методы и средства физической культуры для совершенствования основных физических качеств;
осуществлять самоконтроль за состоянием своего организма и соблюдать правила гигиены и техники безопасности; 
подбирать и применять современные методы и технологии для формирования и развития физического здоровья
Владеть: 
методами и средствами физической культуры для обеспечения полноценной социальной и профессиональной деятельности; 
методами и средствами физического воспитания для поддержания и сохранения своего здоровья.
</w:t>
            </w:r>
          </w:p>
        </w:tc>
        <w:tc>
          <w:tcPr>
            <w:tcW w:w="3100" w:type="dxa"/>
            <w:noWrap/>
          </w:tcPr>
          <w:p>
            <w:pPr/>
            <w:r>
              <w:rPr/>
              <w:t xml:space="preserve">УК-7.1. Поддерживает должный уровень физической подготовленности для обеспечения полноценной социальной и профессиональной деятельности и соблюдает нормы здорового образа жизни.</w:t>
            </w:r>
          </w:p>
          <w:p/>
          <w:p>
            <w:pPr/>
            <w:r>
              <w:rPr/>
              <w:t xml:space="preserve">УК-7.2. Использует основы физической культуры для осознанного выбора здоровьесберегающих технологий с учетом внутренних и внешних условий реализации конкретной профессиональной деятельности.</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Физическая культура и спорт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1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2 зач. ед. или 72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72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68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68</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4</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1</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Физическая культура и спорт в общекультурной и профессиональной подготовке студента</w:t>
            </w:r>
          </w:p>
        </w:tc>
        <w:tc>
          <w:tcPr>
            <w:noWrap/>
          </w:tcPr>
          <w:p>
            <w:pPr>
              <w:jc w:val="left"/>
              <w:ind w:left="0" w:right="0" w:firstLine="0" w:hanging="0"/>
            </w:pPr>
            <w:r>
              <w:rPr/>
              <w:t xml:space="preserve">44</w:t>
            </w:r>
          </w:p>
        </w:tc>
        <w:tc>
          <w:tcPr>
            <w:noWrap/>
          </w:tcPr>
          <w:p>
            <w:pPr>
              <w:jc w:val="left"/>
              <w:ind w:left="0" w:right="0" w:firstLine="0" w:hanging="0"/>
            </w:pPr>
            <w:r>
              <w:rPr/>
              <w:t xml:space="preserve">0</w:t>
            </w:r>
          </w:p>
        </w:tc>
        <w:tc>
          <w:tcPr>
            <w:noWrap/>
          </w:tcPr>
          <w:p>
            <w:pPr>
              <w:jc w:val="left"/>
              <w:ind w:left="0" w:right="0" w:firstLine="0" w:hanging="0"/>
            </w:pPr>
            <w:r>
              <w:rPr/>
              <w:t xml:space="preserve">40</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pPr>
              <w:jc w:val="left"/>
              <w:ind w:left="0" w:right="0" w:firstLine="0" w:hanging="0"/>
            </w:pPr>
            <w:r>
              <w:rPr/>
              <w:t xml:space="preserve">Реферат; Тест; Зачет</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Спортивные игры (волейбол, баскетбол)</w:t>
            </w:r>
          </w:p>
        </w:tc>
        <w:tc>
          <w:tcPr>
            <w:noWrap/>
          </w:tcPr>
          <w:p>
            <w:pPr>
              <w:jc w:val="left"/>
              <w:ind w:left="0" w:right="0" w:firstLine="0" w:hanging="0"/>
            </w:pPr>
            <w:r>
              <w:rPr/>
              <w:t xml:space="preserve">28</w:t>
            </w:r>
          </w:p>
        </w:tc>
        <w:tc>
          <w:tcPr>
            <w:noWrap/>
          </w:tcPr>
          <w:p>
            <w:pPr>
              <w:jc w:val="left"/>
              <w:ind w:left="0" w:right="0" w:firstLine="0" w:hanging="0"/>
            </w:pPr>
            <w:r>
              <w:rPr/>
              <w:t xml:space="preserve">0</w:t>
            </w:r>
          </w:p>
        </w:tc>
        <w:tc>
          <w:tcPr>
            <w:noWrap/>
          </w:tcPr>
          <w:p>
            <w:pPr>
              <w:jc w:val="left"/>
              <w:ind w:left="0" w:right="0" w:firstLine="0" w:hanging="0"/>
            </w:pPr>
            <w:r>
              <w:rPr/>
              <w:t xml:space="preserve">28</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Тест; Зачет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72</w:t>
            </w:r>
          </w:p>
        </w:tc>
        <w:tc>
          <w:tcPr>
            <w:noWrap/>
          </w:tcPr>
          <w:p>
            <w:pPr>
              <w:jc w:val="left"/>
              <w:ind w:left="0" w:right="0" w:firstLine="0" w:hanging="0"/>
            </w:pPr>
            <w:r>
              <w:rPr/>
              <w:t xml:space="preserve">0</w:t>
            </w:r>
          </w:p>
        </w:tc>
        <w:tc>
          <w:tcPr>
            <w:noWrap/>
          </w:tcPr>
          <w:p>
            <w:pPr>
              <w:jc w:val="left"/>
              <w:ind w:left="0" w:right="0" w:firstLine="0" w:hanging="0"/>
            </w:pPr>
            <w:r>
              <w:rPr/>
              <w:t xml:space="preserve">68</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«Физическая культура и спорт» как основа культуры личности студента. Реализация дисциплины «Физическая культура и спорт» в ПетрГУ, общие требования к получению зачета. Спортивно-массовая работа в ПетрГУ.</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Техника безопасности на занятиях по физической культуре и спорту. Общая физическая подготовка, основные физические качества. Быстрота. Основы развития скоростных качеств. Бег 100 м, прыжок в длину с места.</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Общая физическая подготовка. Выносливость. Основы развития  общей выносливости. Бег 500/2000 м (девушки), 1000/3000 м (юноши);</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Туризм в ПетрГУ. Пешие походы: основные правила безопасности. Выход на КП ПетрГУ: туристическая полоса препятствий.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1.5</w:t>
            </w:r>
          </w:p>
        </w:tc>
        <w:tc>
          <w:tcPr>
            <w:noWrap/>
          </w:tcPr>
          <w:p>
            <w:pPr>
              <w:jc w:val="left"/>
              <w:ind w:left="0" w:right="0" w:firstLine="0" w:hanging="0"/>
            </w:pPr>
            <w:r>
              <w:rPr/>
              <w:t xml:space="preserve">Методические основы занятий атлетической гимнастикой. Общая физическая подготовка.  Основные физические качества – сила, гибкость; методика развития этих качеств. Техника  выполнения упражнений в силовом тренинге. Комплексы упражнений для различной подготовленности и направленности. Тестирование силовой подготовленности и гибкости</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1.6</w:t>
            </w:r>
          </w:p>
        </w:tc>
        <w:tc>
          <w:tcPr>
            <w:noWrap/>
          </w:tcPr>
          <w:p>
            <w:pPr>
              <w:jc w:val="left"/>
              <w:ind w:left="0" w:right="0" w:firstLine="0" w:hanging="0"/>
            </w:pPr>
            <w:r>
              <w:rPr/>
              <w:t xml:space="preserve">Плавание. Основы безопасности поведения на воде.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Спортивные игры. Баскетбол. Подготовительные и подводящие упражнения по технике вида спорта, обучение основным навыками и техническим приемам, изучение технико-тактических действий.</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Спортивные игры. Волейбол. Подготовительные и подводящие упражнения по технике вида спорта, обучение основным навыками и техническим приемам, изучение технико-тактических действий.</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68</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Раздел «Физическая культура и спорт в общекультурной и профессиональной подготовке студента» 1.Изучение темы: «Физическая культура и спорт в общекультурной и профессиональной подготовке студентов». Тест теоретических знаний. 2.Составление и проведение комплекса подготовительной части учебно-тренировочного занятия с учётом целей и задач занятия.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Для достижения запланированных результатов обучения и формирования компетенций в ходе изучения дисциплины используются как традиционные (практические занятия, методы круговой, интервальной, повторной тренировок, контрольные занятия), так и инновационные формы проведения занятий (кроссфит, табата, современные фитнесс-технологии, технологии самостоятельной работы с использованием программ мобильных приложений.</w:t>
      </w:r>
    </w:p>
    <w:p>
      <w:pPr/>
      <w:r>
        <w:rPr/>
        <w:t xml:space="preserve">Используются материалы видеозаписей по технике выполнения отдельных упражнений.</w:t>
      </w:r>
    </w:p>
    <w:p>
      <w:pPr/>
      <w:r>
        <w:rPr/>
        <w:t xml:space="preserve">В процессе практических занятий используются технологии индивидуальной работы  со студентами, имеющими недостаточный уровень физической и функциональной подготовленности; противопоказания к выполнению определенных двигательный действий (по состоянию здоровья), существенные нарушения в технике выполнения элементов. Широко применяется демонстрация изучаемых двигательных действий лучшими студентами.</w:t>
      </w:r>
    </w:p>
    <w:p>
      <w:pPr/>
      <w:r>
        <w:rPr/>
        <w:t xml:space="preserve">Изучение теоретического материала дисциплины осуществляется с использованием дистанционных образовательных технологий (обучающие презентации, тесты), Internet-ресурсов, информационных баз, методических разработок, специальной учебной и научной литературы.</w:t>
      </w:r>
    </w:p>
    <w:p>
      <w:pPr/>
      <w:r>
        <w:rPr/>
        <w:t xml:space="preserve">Закрепление теоретического материала происходит при проведении практических занятий с использованием спортивного оборудования и инвентаря, выполнения проблемно-ориентированных и творческих заданий.</w:t>
      </w:r>
    </w:p>
    <w:p>
      <w:pPr/>
      <w:r>
        <w:rPr>
          <w:b w:val="1"/>
          <w:bCs w:val="1"/>
        </w:rPr>
        <w:t xml:space="preserve"> </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тест; тест; тест; тест; тест; тест; реферат.</w:t>
      </w:r>
    </w:p>
    <w:p>
      <w:pPr/>
      <w:r>
        <w:rPr/>
        <w:t xml:space="preserve">Оценочные средства для текущего контроля.</w:t>
      </w:r>
    </w:p>
    <w:p>
      <w:pPr/>
      <w:r>
        <w:rPr/>
        <w:t xml:space="preserve">Тест</w:t>
      </w:r>
    </w:p>
    <w:tbl>
      <w:tblGrid>
        <w:gridCol w:w="4145900" w:type="dxa"/>
        <w:gridCol w:w="67600" w:type="dxa"/>
        <w:gridCol w:w="43950" w:type="dxa"/>
        <w:gridCol w:w="3950" w:type="dxa"/>
        <w:gridCol w:w="183250" w:type="dxa"/>
      </w:tblGrid>
      <w:tblPr>
        <w:tblW w:w="5000" w:type="pct"/>
        <w:tblLayout w:type="autofit"/>
        <w:tblBorders>
          <w:top w:val="single" w:sz="15"/>
          <w:left w:val="single" w:sz="15"/>
          <w:right w:val="single" w:sz="15"/>
          <w:bottom w:val="single" w:sz="15"/>
          <w:insideH w:val="single" w:sz="15"/>
          <w:insideV w:val="single" w:sz="15"/>
        </w:tblBorders>
      </w:tblPr>
      <w:tr>
        <w:trPr>
          <w:trHeight w:val="150" w:hRule="exact"/>
        </w:trPr>
        <w:tc>
          <w:tcPr>
            <w:tcW w:w="4145900" w:type="pct"/>
            <w:noWrap/>
          </w:tcPr>
          <w:p>
            <w:pPr/>
            <w:r>
              <w:rPr/>
              <w:t xml:space="preserve"> </w:t>
            </w:r>
          </w:p>
        </w:tc>
        <w:tc>
          <w:tcPr>
            <w:tcW w:w="67600" w:type="pct"/>
            <w:noWrap/>
          </w:tcPr>
          <w:p>
            <w:pPr/>
            <w:r>
              <w:rPr/>
              <w:t xml:space="preserve"> </w:t>
            </w:r>
          </w:p>
        </w:tc>
        <w:tc>
          <w:tcPr>
            <w:tcW w:w="17750" w:type="pct"/>
            <w:gridSpan w:val="3"/>
            <w:noWrap/>
          </w:tcPr>
          <w:p>
            <w:pPr>
              <w:jc w:val="center"/>
            </w:pPr>
            <w:r>
              <w:rPr/>
              <w:t xml:space="preserve">Юноши</w:t>
            </w:r>
          </w:p>
        </w:tc>
      </w:tr>
      <w:tr>
        <w:trPr>
          <w:trHeight w:val="420" w:hRule="exact"/>
        </w:trPr>
        <w:tc>
          <w:tcPr>
            <w:tcW w:w="4145900" w:type="pct"/>
            <w:noWrap/>
          </w:tcPr>
          <w:p>
            <w:pPr/>
            <w:r>
              <w:rPr/>
              <w:t xml:space="preserve">№ теста</w:t>
            </w:r>
          </w:p>
        </w:tc>
        <w:tc>
          <w:tcPr>
            <w:tcW w:w="67600" w:type="pct"/>
            <w:noWrap/>
          </w:tcPr>
          <w:p>
            <w:pPr/>
            <w:r>
              <w:rPr/>
              <w:t xml:space="preserve">Виды испытаний (тесты)</w:t>
            </w:r>
          </w:p>
        </w:tc>
        <w:tc>
          <w:tcPr>
            <w:tcW w:w="43950" w:type="pct"/>
            <w:noWrap/>
          </w:tcPr>
          <w:p>
            <w:pPr>
              <w:jc w:val="center"/>
            </w:pPr>
            <w:r>
              <w:rPr/>
              <w:t xml:space="preserve">1 очко</w:t>
            </w:r>
          </w:p>
        </w:tc>
        <w:tc>
          <w:tcPr>
            <w:tcW w:w="3950" w:type="pct"/>
            <w:noWrap/>
          </w:tcPr>
          <w:p>
            <w:pPr>
              <w:jc w:val="center"/>
            </w:pPr>
            <w:r>
              <w:rPr/>
              <w:t xml:space="preserve">2 очка</w:t>
            </w:r>
          </w:p>
        </w:tc>
        <w:tc>
          <w:tcPr>
            <w:tcW w:w="183250" w:type="pct"/>
            <w:noWrap/>
          </w:tcPr>
          <w:p>
            <w:pPr>
              <w:jc w:val="center"/>
            </w:pPr>
            <w:r>
              <w:rPr/>
              <w:t xml:space="preserve">3 очка</w:t>
            </w:r>
          </w:p>
        </w:tc>
      </w:tr>
      <w:tr>
        <w:trPr>
          <w:trHeight w:val="1650" w:hRule="exact"/>
        </w:trPr>
        <w:tc>
          <w:tcPr>
            <w:tcW w:w="499950" w:type="pct"/>
            <w:gridSpan w:val="5"/>
            <w:noWrap/>
          </w:tcPr>
          <w:p>
            <w:pPr/>
            <w:r>
              <w:rPr/>
              <w:t xml:space="preserve"> </w:t>
            </w:r>
          </w:p>
          <w:p>
            <w:pPr>
              <w:jc w:val="center"/>
            </w:pPr>
            <w:r>
              <w:rPr/>
              <w:t xml:space="preserve">Обязательные испытания (тесты)</w:t>
            </w:r>
          </w:p>
          <w:p>
            <w:pPr/>
            <w:r>
              <w:rPr/>
              <w:t xml:space="preserve"> </w:t>
            </w:r>
          </w:p>
        </w:tc>
      </w:tr>
      <w:tr>
        <w:trPr>
          <w:trHeight w:val="690" w:hRule="exact"/>
        </w:trPr>
        <w:tc>
          <w:tcPr>
            <w:tcW w:w="4145900" w:type="pct"/>
            <w:noWrap/>
          </w:tcPr>
          <w:p>
            <w:pPr/>
            <w:r>
              <w:rPr/>
              <w:t xml:space="preserve">1.1</w:t>
            </w:r>
          </w:p>
        </w:tc>
        <w:tc>
          <w:tcPr>
            <w:tcW w:w="67600" w:type="pct"/>
            <w:noWrap/>
          </w:tcPr>
          <w:p>
            <w:pPr/>
            <w:r>
              <w:rPr/>
              <w:t xml:space="preserve">Бег на 60 м (сек.)</w:t>
            </w:r>
          </w:p>
        </w:tc>
        <w:tc>
          <w:tcPr>
            <w:tcW w:w="43950" w:type="pct"/>
            <w:noWrap/>
          </w:tcPr>
          <w:p>
            <w:pPr>
              <w:jc w:val="center"/>
            </w:pPr>
            <w:r>
              <w:rPr/>
              <w:t xml:space="preserve">8,9</w:t>
            </w:r>
          </w:p>
        </w:tc>
        <w:tc>
          <w:tcPr>
            <w:tcW w:w="3950" w:type="pct"/>
            <w:noWrap/>
          </w:tcPr>
          <w:p>
            <w:pPr>
              <w:jc w:val="center"/>
            </w:pPr>
            <w:r>
              <w:rPr/>
              <w:t xml:space="preserve">8,4</w:t>
            </w:r>
          </w:p>
        </w:tc>
        <w:tc>
          <w:tcPr>
            <w:tcW w:w="183250" w:type="pct"/>
            <w:noWrap/>
          </w:tcPr>
          <w:p>
            <w:pPr>
              <w:jc w:val="center"/>
            </w:pPr>
            <w:r>
              <w:rPr/>
              <w:t xml:space="preserve">7,9</w:t>
            </w:r>
          </w:p>
        </w:tc>
      </w:tr>
      <w:tr>
        <w:trPr>
          <w:trHeight w:val="690" w:hRule="exact"/>
        </w:trPr>
        <w:tc>
          <w:tcPr>
            <w:tcW w:w="67600" w:type="pct"/>
            <w:noWrap/>
          </w:tcPr>
          <w:p>
            <w:pPr/>
            <w:r>
              <w:rPr/>
              <w:t xml:space="preserve">Бег на 100 м (сек.)</w:t>
            </w:r>
          </w:p>
        </w:tc>
        <w:tc>
          <w:tcPr>
            <w:tcW w:w="43950" w:type="pct"/>
            <w:noWrap/>
          </w:tcPr>
          <w:p>
            <w:pPr>
              <w:jc w:val="center"/>
            </w:pPr>
            <w:r>
              <w:rPr/>
              <w:t xml:space="preserve">14,8</w:t>
            </w:r>
          </w:p>
        </w:tc>
        <w:tc>
          <w:tcPr>
            <w:tcW w:w="3950" w:type="pct"/>
            <w:noWrap/>
          </w:tcPr>
          <w:p>
            <w:pPr>
              <w:jc w:val="center"/>
            </w:pPr>
            <w:r>
              <w:rPr/>
              <w:t xml:space="preserve">14,1</w:t>
            </w:r>
          </w:p>
        </w:tc>
        <w:tc>
          <w:tcPr>
            <w:tcW w:w="183250" w:type="pct"/>
            <w:noWrap/>
          </w:tcPr>
          <w:p>
            <w:pPr>
              <w:jc w:val="center"/>
            </w:pPr>
            <w:r>
              <w:rPr/>
              <w:t xml:space="preserve">13,2</w:t>
            </w:r>
          </w:p>
        </w:tc>
      </w:tr>
    </w:tbl>
    <w:tbl>
      <w:tblGrid>
        <w:gridCol w:w="4145900" w:type="dxa"/>
        <w:gridCol w:w="112100" w:type="dxa"/>
        <w:gridCol w:w="3950" w:type="dxa"/>
        <w:gridCol w:w="3950" w:type="dxa"/>
        <w:gridCol w:w="183250" w:type="dxa"/>
      </w:tblGrid>
      <w:tblPr>
        <w:tblW w:w="5000" w:type="pct"/>
        <w:tblLayout w:type="autofit"/>
        <w:tblBorders>
          <w:top w:val="single" w:sz="15"/>
          <w:left w:val="single" w:sz="15"/>
          <w:right w:val="single" w:sz="15"/>
          <w:bottom w:val="single" w:sz="15"/>
          <w:insideH w:val="single" w:sz="15"/>
          <w:insideV w:val="single" w:sz="15"/>
        </w:tblBorders>
      </w:tblPr>
      <w:tr>
        <w:trPr>
          <w:trHeight w:val="690" w:hRule="exact"/>
        </w:trPr>
        <w:tc>
          <w:tcPr>
            <w:tcW w:w="4145900" w:type="pct"/>
            <w:noWrap/>
          </w:tcPr>
          <w:p>
            <w:pPr/>
            <w:r>
              <w:rPr/>
              <w:t xml:space="preserve">№ теста</w:t>
            </w:r>
          </w:p>
        </w:tc>
        <w:tc>
          <w:tcPr>
            <w:tcW w:w="112100" w:type="pct"/>
            <w:noWrap/>
          </w:tcPr>
          <w:p>
            <w:pPr/>
            <w:r>
              <w:rPr/>
              <w:t xml:space="preserve">       Вид испытаний (тесты)</w:t>
            </w:r>
          </w:p>
        </w:tc>
        <w:tc>
          <w:tcPr>
            <w:tcW w:w="473300" w:type="pct"/>
            <w:gridSpan w:val="3"/>
            <w:noWrap/>
          </w:tcPr>
          <w:p>
            <w:pPr>
              <w:jc w:val="center"/>
            </w:pPr>
            <w:r>
              <w:rPr/>
              <w:t xml:space="preserve">Девушки</w:t>
            </w:r>
          </w:p>
        </w:tc>
      </w:tr>
      <w:tr>
        <w:trPr>
          <w:trHeight w:val="690" w:hRule="exact"/>
        </w:trPr>
        <w:tc>
          <w:tcPr>
            <w:tcW w:w="3950" w:type="pct"/>
            <w:noWrap/>
          </w:tcPr>
          <w:p>
            <w:pPr>
              <w:jc w:val="center"/>
            </w:pPr>
            <w:r>
              <w:rPr/>
              <w:t xml:space="preserve">1 очко</w:t>
            </w:r>
          </w:p>
        </w:tc>
        <w:tc>
          <w:tcPr>
            <w:tcW w:w="3950" w:type="pct"/>
            <w:noWrap/>
          </w:tcPr>
          <w:p>
            <w:pPr>
              <w:jc w:val="center"/>
            </w:pPr>
            <w:r>
              <w:rPr/>
              <w:t xml:space="preserve">2 очка</w:t>
            </w:r>
          </w:p>
        </w:tc>
        <w:tc>
          <w:tcPr>
            <w:tcW w:w="183250" w:type="pct"/>
            <w:noWrap/>
          </w:tcPr>
          <w:p>
            <w:pPr>
              <w:jc w:val="center"/>
            </w:pPr>
            <w:r>
              <w:rPr/>
              <w:t xml:space="preserve">3 очка</w:t>
            </w:r>
          </w:p>
        </w:tc>
      </w:tr>
      <w:tr>
        <w:trPr>
          <w:trHeight w:val="690" w:hRule="exact"/>
        </w:trPr>
        <w:tc>
          <w:tcPr>
            <w:tcW w:w="5000" w:type="pct"/>
            <w:gridSpan w:val="5"/>
            <w:noWrap/>
          </w:tcPr>
          <w:p>
            <w:pPr>
              <w:jc w:val="center"/>
            </w:pPr>
            <w:r>
              <w:rPr/>
              <w:t xml:space="preserve">Обязательные испытания (тесты)</w:t>
            </w:r>
          </w:p>
        </w:tc>
      </w:tr>
      <w:tr>
        <w:trPr>
          <w:trHeight w:val="690" w:hRule="exact"/>
        </w:trPr>
        <w:tc>
          <w:tcPr>
            <w:tcW w:w="4145900" w:type="pct"/>
            <w:noWrap/>
          </w:tcPr>
          <w:p>
            <w:pPr/>
            <w:r>
              <w:rPr/>
              <w:t xml:space="preserve">1.1</w:t>
            </w:r>
          </w:p>
        </w:tc>
        <w:tc>
          <w:tcPr>
            <w:tcW w:w="112100" w:type="pct"/>
            <w:noWrap/>
          </w:tcPr>
          <w:p>
            <w:pPr/>
            <w:r>
              <w:rPr/>
              <w:t xml:space="preserve">Бег на 60 м (сек.)</w:t>
            </w:r>
          </w:p>
        </w:tc>
        <w:tc>
          <w:tcPr>
            <w:tcW w:w="3950" w:type="pct"/>
            <w:noWrap/>
          </w:tcPr>
          <w:p>
            <w:pPr>
              <w:jc w:val="center"/>
            </w:pPr>
            <w:r>
              <w:rPr/>
              <w:t xml:space="preserve">10,7</w:t>
            </w:r>
          </w:p>
        </w:tc>
        <w:tc>
          <w:tcPr>
            <w:tcW w:w="3950" w:type="pct"/>
            <w:noWrap/>
          </w:tcPr>
          <w:p>
            <w:pPr>
              <w:jc w:val="center"/>
            </w:pPr>
            <w:r>
              <w:rPr/>
              <w:t xml:space="preserve">9,9</w:t>
            </w:r>
          </w:p>
        </w:tc>
        <w:tc>
          <w:tcPr>
            <w:tcW w:w="183250" w:type="pct"/>
            <w:noWrap/>
          </w:tcPr>
          <w:p>
            <w:pPr>
              <w:jc w:val="center"/>
            </w:pPr>
            <w:r>
              <w:rPr/>
              <w:t xml:space="preserve">9,2</w:t>
            </w:r>
          </w:p>
        </w:tc>
      </w:tr>
      <w:tr>
        <w:trPr>
          <w:trHeight w:val="690" w:hRule="exact"/>
        </w:trPr>
        <w:tc>
          <w:tcPr>
            <w:tcW w:w="112100" w:type="pct"/>
            <w:noWrap/>
          </w:tcPr>
          <w:p>
            <w:pPr/>
            <w:r>
              <w:rPr/>
              <w:t xml:space="preserve">Бег на 100 м (сек.)</w:t>
            </w:r>
          </w:p>
        </w:tc>
        <w:tc>
          <w:tcPr>
            <w:tcW w:w="3950" w:type="pct"/>
            <w:noWrap/>
          </w:tcPr>
          <w:p>
            <w:pPr>
              <w:jc w:val="center"/>
            </w:pPr>
            <w:r>
              <w:rPr/>
              <w:t xml:space="preserve">17,9</w:t>
            </w:r>
          </w:p>
        </w:tc>
        <w:tc>
          <w:tcPr>
            <w:tcW w:w="3950" w:type="pct"/>
            <w:noWrap/>
          </w:tcPr>
          <w:p>
            <w:pPr>
              <w:jc w:val="center"/>
            </w:pPr>
            <w:r>
              <w:rPr/>
              <w:t xml:space="preserve">16,9</w:t>
            </w:r>
          </w:p>
        </w:tc>
        <w:tc>
          <w:tcPr>
            <w:tcW w:w="183250" w:type="pct"/>
            <w:noWrap/>
          </w:tcPr>
          <w:p>
            <w:pPr>
              <w:jc w:val="center"/>
            </w:pPr>
            <w:r>
              <w:rPr/>
              <w:t xml:space="preserve">15,8</w:t>
            </w:r>
          </w:p>
        </w:tc>
      </w:tr>
    </w:tbl>
    <w:p/>
    <w:p>
      <w:pPr/>
      <w:r>
        <w:rPr/>
        <w:t xml:space="preserve">Тест</w:t>
      </w:r>
    </w:p>
    <w:tbl>
      <w:tblGrid>
        <w:gridCol w:w="4295400" w:type="dxa"/>
        <w:gridCol w:w="106600" w:type="dxa"/>
        <w:gridCol w:w="365400" w:type="dxa"/>
        <w:gridCol w:w="365400" w:type="dxa"/>
        <w:gridCol w:w="187900" w:type="dxa"/>
      </w:tblGrid>
      <w:tblPr>
        <w:tblW w:w="454850" w:type="pct"/>
        <w:tblLayout w:type="autofit"/>
        <w:tblBorders>
          <w:top w:val="single" w:sz="15"/>
          <w:left w:val="single" w:sz="15"/>
          <w:right w:val="single" w:sz="15"/>
          <w:bottom w:val="single" w:sz="15"/>
          <w:insideH w:val="single" w:sz="15"/>
          <w:insideV w:val="single" w:sz="15"/>
        </w:tblBorders>
      </w:tblPr>
      <w:tr>
        <w:trPr>
          <w:trHeight w:val="690" w:hRule="exact"/>
        </w:trPr>
        <w:tc>
          <w:tcPr>
            <w:tcW w:w="4295400" w:type="pct"/>
            <w:noWrap/>
          </w:tcPr>
          <w:p>
            <w:pPr/>
            <w:r>
              <w:rPr/>
              <w:t xml:space="preserve"> </w:t>
            </w:r>
          </w:p>
        </w:tc>
        <w:tc>
          <w:tcPr>
            <w:tcW w:w="106600" w:type="pct"/>
            <w:noWrap/>
          </w:tcPr>
          <w:p>
            <w:pPr/>
            <w:r>
              <w:rPr/>
              <w:t xml:space="preserve"> </w:t>
            </w:r>
          </w:p>
        </w:tc>
        <w:tc>
          <w:tcPr>
            <w:tcW w:w="418700" w:type="pct"/>
            <w:gridSpan w:val="3"/>
            <w:noWrap/>
          </w:tcPr>
          <w:p>
            <w:pPr>
              <w:jc w:val="center"/>
            </w:pPr>
            <w:r>
              <w:rPr/>
              <w:t xml:space="preserve">Юноши</w:t>
            </w:r>
          </w:p>
        </w:tc>
      </w:tr>
      <w:tr>
        <w:trPr>
          <w:trHeight w:val="690" w:hRule="exact"/>
        </w:trPr>
        <w:tc>
          <w:tcPr>
            <w:tcW w:w="4295400" w:type="pct"/>
            <w:noWrap/>
          </w:tcPr>
          <w:p>
            <w:pPr/>
            <w:r>
              <w:rPr/>
              <w:t xml:space="preserve">№ теста</w:t>
            </w:r>
          </w:p>
        </w:tc>
        <w:tc>
          <w:tcPr>
            <w:tcW w:w="106600" w:type="pct"/>
            <w:noWrap/>
          </w:tcPr>
          <w:p>
            <w:pPr/>
            <w:r>
              <w:rPr/>
              <w:t xml:space="preserve">Виды испытаний (тесты)</w:t>
            </w:r>
          </w:p>
        </w:tc>
        <w:tc>
          <w:tcPr>
            <w:tcW w:w="365400" w:type="pct"/>
            <w:noWrap/>
          </w:tcPr>
          <w:p>
            <w:pPr>
              <w:jc w:val="center"/>
            </w:pPr>
            <w:r>
              <w:rPr/>
              <w:t xml:space="preserve">1 очко</w:t>
            </w:r>
          </w:p>
        </w:tc>
        <w:tc>
          <w:tcPr>
            <w:tcW w:w="365400" w:type="pct"/>
            <w:noWrap/>
          </w:tcPr>
          <w:p>
            <w:pPr>
              <w:jc w:val="center"/>
            </w:pPr>
            <w:r>
              <w:rPr/>
              <w:t xml:space="preserve">2 очка</w:t>
            </w:r>
          </w:p>
        </w:tc>
        <w:tc>
          <w:tcPr>
            <w:tcW w:w="187900" w:type="pct"/>
            <w:noWrap/>
          </w:tcPr>
          <w:p>
            <w:pPr>
              <w:jc w:val="center"/>
            </w:pPr>
            <w:r>
              <w:rPr/>
              <w:t xml:space="preserve">3 очка</w:t>
            </w:r>
          </w:p>
        </w:tc>
      </w:tr>
      <w:tr>
        <w:trPr>
          <w:trHeight w:val="150" w:hRule="exact"/>
        </w:trPr>
        <w:tc>
          <w:tcPr>
            <w:tcW w:w="454850" w:type="pct"/>
            <w:gridSpan w:val="5"/>
            <w:noWrap/>
          </w:tcPr>
          <w:p>
            <w:pPr>
              <w:jc w:val="center"/>
            </w:pPr>
          </w:p>
          <w:p>
            <w:pPr>
              <w:jc w:val="center"/>
            </w:pPr>
            <w:r>
              <w:rPr/>
              <w:t xml:space="preserve">Обязательные испытания (тесты)</w:t>
            </w:r>
          </w:p>
          <w:p>
            <w:pPr/>
            <w:r>
              <w:rPr/>
              <w:t xml:space="preserve"> </w:t>
            </w:r>
          </w:p>
        </w:tc>
      </w:tr>
      <w:tr>
        <w:trPr>
          <w:trHeight w:val="690" w:hRule="exact"/>
        </w:trPr>
        <w:tc>
          <w:tcPr>
            <w:tcW w:w="4295400" w:type="pct"/>
            <w:noWrap/>
          </w:tcPr>
          <w:p>
            <w:pPr/>
            <w:r>
              <w:rPr/>
              <w:t xml:space="preserve">1.2</w:t>
            </w:r>
          </w:p>
        </w:tc>
        <w:tc>
          <w:tcPr>
            <w:tcW w:w="106600" w:type="pct"/>
            <w:noWrap/>
          </w:tcPr>
          <w:p>
            <w:pPr/>
            <w:r>
              <w:rPr/>
              <w:t xml:space="preserve">Бег 1000 м (мин, сек)</w:t>
            </w:r>
          </w:p>
        </w:tc>
        <w:tc>
          <w:tcPr>
            <w:tcW w:w="365400" w:type="pct"/>
            <w:noWrap/>
          </w:tcPr>
          <w:p>
            <w:pPr>
              <w:jc w:val="center"/>
            </w:pPr>
            <w:r>
              <w:rPr/>
              <w:t xml:space="preserve">4,15</w:t>
            </w:r>
          </w:p>
        </w:tc>
        <w:tc>
          <w:tcPr>
            <w:tcW w:w="365400" w:type="pct"/>
            <w:noWrap/>
          </w:tcPr>
          <w:p>
            <w:pPr>
              <w:jc w:val="center"/>
            </w:pPr>
            <w:r>
              <w:rPr/>
              <w:t xml:space="preserve">3,50</w:t>
            </w:r>
          </w:p>
        </w:tc>
        <w:tc>
          <w:tcPr>
            <w:tcW w:w="187900" w:type="pct"/>
            <w:noWrap/>
          </w:tcPr>
          <w:p>
            <w:pPr>
              <w:jc w:val="center"/>
            </w:pPr>
            <w:r>
              <w:rPr/>
              <w:t xml:space="preserve">3,20</w:t>
            </w:r>
          </w:p>
        </w:tc>
      </w:tr>
      <w:tr>
        <w:trPr>
          <w:trHeight w:val="690" w:hRule="exact"/>
        </w:trPr>
        <w:tc>
          <w:tcPr>
            <w:tcW w:w="106600" w:type="pct"/>
            <w:noWrap/>
          </w:tcPr>
          <w:p>
            <w:pPr/>
            <w:r>
              <w:rPr/>
              <w:t xml:space="preserve">Бег 3000 м (мин, сек)</w:t>
            </w:r>
          </w:p>
        </w:tc>
        <w:tc>
          <w:tcPr>
            <w:tcW w:w="365400" w:type="pct"/>
            <w:noWrap/>
          </w:tcPr>
          <w:p>
            <w:pPr>
              <w:jc w:val="center"/>
            </w:pPr>
            <w:r>
              <w:rPr/>
              <w:t xml:space="preserve">15,20</w:t>
            </w:r>
          </w:p>
        </w:tc>
        <w:tc>
          <w:tcPr>
            <w:tcW w:w="365400" w:type="pct"/>
            <w:noWrap/>
          </w:tcPr>
          <w:p>
            <w:pPr>
              <w:jc w:val="center"/>
            </w:pPr>
            <w:r>
              <w:rPr/>
              <w:t xml:space="preserve">14,10</w:t>
            </w:r>
          </w:p>
        </w:tc>
        <w:tc>
          <w:tcPr>
            <w:tcW w:w="187900" w:type="pct"/>
            <w:noWrap/>
          </w:tcPr>
          <w:p>
            <w:pPr>
              <w:jc w:val="center"/>
            </w:pPr>
            <w:r>
              <w:rPr/>
              <w:t xml:space="preserve">12,20</w:t>
            </w:r>
          </w:p>
        </w:tc>
      </w:tr>
    </w:tbl>
    <w:tbl>
      <w:tblGrid>
        <w:gridCol w:w="4145900" w:type="dxa"/>
        <w:gridCol w:w="112100" w:type="dxa"/>
        <w:gridCol w:w="3950" w:type="dxa"/>
        <w:gridCol w:w="3950" w:type="dxa"/>
        <w:gridCol w:w="183250" w:type="dxa"/>
      </w:tblGrid>
      <w:tblPr>
        <w:tblW w:w="5000" w:type="pct"/>
        <w:tblLayout w:type="autofit"/>
        <w:tblBorders>
          <w:top w:val="single" w:sz="15"/>
          <w:left w:val="single" w:sz="15"/>
          <w:right w:val="single" w:sz="15"/>
          <w:bottom w:val="single" w:sz="15"/>
          <w:insideH w:val="single" w:sz="15"/>
          <w:insideV w:val="single" w:sz="15"/>
        </w:tblBorders>
      </w:tblPr>
      <w:tr>
        <w:trPr>
          <w:trHeight w:val="690" w:hRule="exact"/>
        </w:trPr>
        <w:tc>
          <w:tcPr>
            <w:tcW w:w="4145900" w:type="pct"/>
            <w:noWrap/>
          </w:tcPr>
          <w:p>
            <w:pPr/>
            <w:r>
              <w:rPr/>
              <w:t xml:space="preserve">№ теста</w:t>
            </w:r>
          </w:p>
        </w:tc>
        <w:tc>
          <w:tcPr>
            <w:tcW w:w="112100" w:type="pct"/>
            <w:noWrap/>
          </w:tcPr>
          <w:p>
            <w:pPr/>
            <w:r>
              <w:rPr/>
              <w:t xml:space="preserve">       Вид испытаний (тесты)</w:t>
            </w:r>
          </w:p>
        </w:tc>
        <w:tc>
          <w:tcPr>
            <w:tcW w:w="473300" w:type="pct"/>
            <w:gridSpan w:val="3"/>
            <w:noWrap/>
          </w:tcPr>
          <w:p>
            <w:pPr>
              <w:jc w:val="center"/>
            </w:pPr>
            <w:r>
              <w:rPr/>
              <w:t xml:space="preserve">Девушки</w:t>
            </w:r>
          </w:p>
        </w:tc>
      </w:tr>
      <w:tr>
        <w:trPr>
          <w:trHeight w:val="690" w:hRule="exact"/>
        </w:trPr>
        <w:tc>
          <w:tcPr>
            <w:tcW w:w="3950" w:type="pct"/>
            <w:noWrap/>
          </w:tcPr>
          <w:p>
            <w:pPr>
              <w:jc w:val="center"/>
            </w:pPr>
            <w:r>
              <w:rPr/>
              <w:t xml:space="preserve">1 очко</w:t>
            </w:r>
          </w:p>
        </w:tc>
        <w:tc>
          <w:tcPr>
            <w:tcW w:w="3950" w:type="pct"/>
            <w:noWrap/>
          </w:tcPr>
          <w:p>
            <w:pPr>
              <w:jc w:val="center"/>
            </w:pPr>
            <w:r>
              <w:rPr/>
              <w:t xml:space="preserve">2 очка</w:t>
            </w:r>
          </w:p>
        </w:tc>
        <w:tc>
          <w:tcPr>
            <w:tcW w:w="183250" w:type="pct"/>
            <w:noWrap/>
          </w:tcPr>
          <w:p>
            <w:pPr>
              <w:jc w:val="center"/>
            </w:pPr>
            <w:r>
              <w:rPr/>
              <w:t xml:space="preserve">3 очка</w:t>
            </w:r>
          </w:p>
        </w:tc>
      </w:tr>
      <w:tr>
        <w:trPr>
          <w:trHeight w:val="150" w:hRule="exact"/>
        </w:trPr>
        <w:tc>
          <w:tcPr>
            <w:tcW w:w="5000" w:type="pct"/>
            <w:gridSpan w:val="5"/>
            <w:noWrap/>
          </w:tcPr>
          <w:p>
            <w:pPr>
              <w:jc w:val="center"/>
            </w:pPr>
            <w:r>
              <w:rPr/>
              <w:t xml:space="preserve">Обязательные испытания (тесты)</w:t>
            </w:r>
          </w:p>
        </w:tc>
      </w:tr>
      <w:tr>
        <w:trPr>
          <w:trHeight w:val="690" w:hRule="exact"/>
        </w:trPr>
        <w:tc>
          <w:tcPr>
            <w:tcW w:w="4145900" w:type="pct"/>
            <w:noWrap/>
          </w:tcPr>
          <w:p>
            <w:pPr/>
            <w:r>
              <w:rPr/>
              <w:t xml:space="preserve">1.2</w:t>
            </w:r>
          </w:p>
        </w:tc>
        <w:tc>
          <w:tcPr>
            <w:tcW w:w="112100" w:type="pct"/>
            <w:noWrap/>
          </w:tcPr>
          <w:p>
            <w:pPr/>
            <w:r>
              <w:rPr/>
              <w:t xml:space="preserve">Бег 500 м (мин,сек)</w:t>
            </w:r>
          </w:p>
        </w:tc>
        <w:tc>
          <w:tcPr>
            <w:tcW w:w="3950" w:type="pct"/>
            <w:noWrap/>
          </w:tcPr>
          <w:p>
            <w:pPr>
              <w:jc w:val="center"/>
            </w:pPr>
            <w:r>
              <w:rPr/>
              <w:t xml:space="preserve">2,25</w:t>
            </w:r>
          </w:p>
        </w:tc>
        <w:tc>
          <w:tcPr>
            <w:tcW w:w="3950" w:type="pct"/>
            <w:noWrap/>
          </w:tcPr>
          <w:p>
            <w:pPr>
              <w:jc w:val="center"/>
            </w:pPr>
            <w:r>
              <w:rPr/>
              <w:t xml:space="preserve">2,10</w:t>
            </w:r>
          </w:p>
        </w:tc>
        <w:tc>
          <w:tcPr>
            <w:tcW w:w="183250" w:type="pct"/>
            <w:noWrap/>
          </w:tcPr>
          <w:p>
            <w:pPr>
              <w:jc w:val="center"/>
            </w:pPr>
            <w:r>
              <w:rPr/>
              <w:t xml:space="preserve">1,55</w:t>
            </w:r>
          </w:p>
        </w:tc>
      </w:tr>
      <w:tr>
        <w:trPr>
          <w:trHeight w:val="690" w:hRule="exact"/>
        </w:trPr>
        <w:tc>
          <w:tcPr>
            <w:tcW w:w="112100" w:type="pct"/>
            <w:noWrap/>
          </w:tcPr>
          <w:p>
            <w:pPr/>
            <w:r>
              <w:rPr/>
              <w:t xml:space="preserve">Бег 2000 м (мин, сек)</w:t>
            </w:r>
          </w:p>
        </w:tc>
        <w:tc>
          <w:tcPr>
            <w:tcW w:w="3950" w:type="pct"/>
            <w:noWrap/>
          </w:tcPr>
          <w:p>
            <w:pPr>
              <w:jc w:val="center"/>
            </w:pPr>
            <w:r>
              <w:rPr/>
              <w:t xml:space="preserve">12,20</w:t>
            </w:r>
          </w:p>
        </w:tc>
        <w:tc>
          <w:tcPr>
            <w:tcW w:w="3950" w:type="pct"/>
            <w:noWrap/>
          </w:tcPr>
          <w:p>
            <w:pPr>
              <w:jc w:val="center"/>
            </w:pPr>
            <w:r>
              <w:rPr/>
              <w:t xml:space="preserve">11,05</w:t>
            </w:r>
          </w:p>
        </w:tc>
        <w:tc>
          <w:tcPr>
            <w:tcW w:w="183250" w:type="pct"/>
            <w:noWrap/>
          </w:tcPr>
          <w:p>
            <w:pPr>
              <w:jc w:val="center"/>
            </w:pPr>
            <w:r>
              <w:rPr/>
              <w:t xml:space="preserve">9,40</w:t>
            </w:r>
          </w:p>
        </w:tc>
      </w:tr>
    </w:tbl>
    <w:p/>
    <w:p>
      <w:pPr/>
      <w:r>
        <w:rPr/>
        <w:t xml:space="preserve">Тест</w:t>
      </w:r>
    </w:p>
    <w:tbl>
      <w:tblGrid>
        <w:gridCol w:w="1333600" w:type="dxa"/>
        <w:gridCol w:w="90900" w:type="dxa"/>
        <w:gridCol w:w="4450" w:type="dxa"/>
        <w:gridCol w:w="229450" w:type="dxa"/>
        <w:gridCol w:w="220600" w:type="dxa"/>
      </w:tblGrid>
      <w:tblPr>
        <w:tblW w:w="412800" w:type="pct"/>
        <w:tblLayout w:type="autofit"/>
        <w:tblBorders>
          <w:top w:val="single" w:sz="15"/>
          <w:left w:val="single" w:sz="15"/>
          <w:right w:val="single" w:sz="15"/>
          <w:bottom w:val="single" w:sz="15"/>
          <w:insideH w:val="single" w:sz="15"/>
          <w:insideV w:val="single" w:sz="15"/>
        </w:tblBorders>
      </w:tblPr>
      <w:tr>
        <w:trPr/>
        <w:tc>
          <w:tcPr>
            <w:tcW w:w="1333600" w:type="pct"/>
            <w:noWrap/>
          </w:tcPr>
          <w:p>
            <w:pPr>
              <w:jc w:val="center"/>
            </w:pPr>
            <w:r>
              <w:rPr/>
              <w:t xml:space="preserve"> </w:t>
            </w:r>
          </w:p>
        </w:tc>
        <w:tc>
          <w:tcPr>
            <w:tcW w:w="90900" w:type="pct"/>
            <w:noWrap/>
          </w:tcPr>
          <w:p>
            <w:pPr>
              <w:jc w:val="center"/>
            </w:pPr>
            <w:r>
              <w:rPr/>
              <w:t xml:space="preserve"> </w:t>
            </w:r>
          </w:p>
        </w:tc>
        <w:tc>
          <w:tcPr>
            <w:tcW w:w="395050" w:type="pct"/>
            <w:gridSpan w:val="3"/>
            <w:noWrap/>
          </w:tcPr>
          <w:p>
            <w:pPr>
              <w:jc w:val="center"/>
            </w:pPr>
            <w:r>
              <w:rPr/>
              <w:t xml:space="preserve">Юноши</w:t>
            </w:r>
          </w:p>
        </w:tc>
      </w:tr>
      <w:tr>
        <w:trPr/>
        <w:tc>
          <w:tcPr>
            <w:tcW w:w="1333600" w:type="pct"/>
            <w:noWrap/>
          </w:tcPr>
          <w:p>
            <w:pPr>
              <w:jc w:val="center"/>
            </w:pPr>
            <w:r>
              <w:rPr/>
              <w:t xml:space="preserve">№ теста</w:t>
            </w:r>
          </w:p>
        </w:tc>
        <w:tc>
          <w:tcPr>
            <w:tcW w:w="90900" w:type="pct"/>
            <w:noWrap/>
          </w:tcPr>
          <w:p>
            <w:pPr>
              <w:jc w:val="center"/>
            </w:pPr>
            <w:r>
              <w:rPr/>
              <w:t xml:space="preserve">Виды испытаний (тесты)</w:t>
            </w:r>
          </w:p>
        </w:tc>
        <w:tc>
          <w:tcPr>
            <w:tcW w:w="4450" w:type="pct"/>
            <w:noWrap/>
          </w:tcPr>
          <w:p>
            <w:pPr>
              <w:jc w:val="center"/>
            </w:pPr>
            <w:r>
              <w:rPr/>
              <w:t xml:space="preserve">1 очко</w:t>
            </w:r>
          </w:p>
        </w:tc>
        <w:tc>
          <w:tcPr>
            <w:tcW w:w="229450" w:type="pct"/>
            <w:noWrap/>
          </w:tcPr>
          <w:p>
            <w:pPr>
              <w:jc w:val="center"/>
            </w:pPr>
            <w:r>
              <w:rPr/>
              <w:t xml:space="preserve">2 очка</w:t>
            </w:r>
          </w:p>
        </w:tc>
        <w:tc>
          <w:tcPr>
            <w:tcW w:w="220600" w:type="pct"/>
            <w:noWrap/>
          </w:tcPr>
          <w:p>
            <w:pPr>
              <w:jc w:val="center"/>
            </w:pPr>
            <w:r>
              <w:rPr/>
              <w:t xml:space="preserve">3 очка</w:t>
            </w:r>
          </w:p>
        </w:tc>
      </w:tr>
      <w:tr>
        <w:trPr>
          <w:trHeight w:val="810" w:hRule="exact"/>
        </w:trPr>
        <w:tc>
          <w:tcPr>
            <w:tcW w:w="1333600" w:type="pct"/>
            <w:noWrap/>
          </w:tcPr>
          <w:p>
            <w:pPr>
              <w:jc w:val="center"/>
            </w:pPr>
            <w:r>
              <w:rPr/>
              <w:t xml:space="preserve">1.3</w:t>
            </w:r>
          </w:p>
        </w:tc>
        <w:tc>
          <w:tcPr>
            <w:tcW w:w="90900" w:type="pct"/>
            <w:noWrap/>
          </w:tcPr>
          <w:p>
            <w:pPr/>
            <w:r>
              <w:rPr/>
              <w:t xml:space="preserve">Наклон вперед из положения стоя с прямыми ногами на гимнастической скамье (см)</w:t>
            </w:r>
          </w:p>
        </w:tc>
        <w:tc>
          <w:tcPr>
            <w:tcW w:w="4450" w:type="pct"/>
            <w:noWrap/>
          </w:tcPr>
          <w:p>
            <w:pPr>
              <w:jc w:val="center"/>
            </w:pPr>
            <w:r>
              <w:rPr/>
              <w:t xml:space="preserve">+6</w:t>
            </w:r>
          </w:p>
        </w:tc>
        <w:tc>
          <w:tcPr>
            <w:tcW w:w="229450" w:type="pct"/>
            <w:noWrap/>
          </w:tcPr>
          <w:p>
            <w:pPr>
              <w:jc w:val="center"/>
            </w:pPr>
            <w:r>
              <w:rPr/>
              <w:t xml:space="preserve">+8</w:t>
            </w:r>
          </w:p>
        </w:tc>
        <w:tc>
          <w:tcPr>
            <w:tcW w:w="220600" w:type="pct"/>
            <w:noWrap/>
          </w:tcPr>
          <w:p>
            <w:pPr>
              <w:jc w:val="center"/>
            </w:pPr>
            <w:r>
              <w:rPr/>
              <w:t xml:space="preserve">+13</w:t>
            </w:r>
          </w:p>
        </w:tc>
      </w:tr>
    </w:tbl>
    <w:tbl>
      <w:tblGrid>
        <w:gridCol w:w="4295400" w:type="dxa"/>
        <w:gridCol w:w="106600" w:type="dxa"/>
        <w:gridCol w:w="177100" w:type="dxa"/>
        <w:gridCol w:w="419850" w:type="dxa"/>
        <w:gridCol w:w="246200" w:type="dxa"/>
      </w:tblGrid>
      <w:tblPr>
        <w:tblW w:w="425250" w:type="pct"/>
        <w:tblLayout w:type="autofit"/>
        <w:tblBorders>
          <w:top w:val="single" w:sz="15"/>
          <w:left w:val="single" w:sz="15"/>
          <w:right w:val="single" w:sz="15"/>
          <w:bottom w:val="single" w:sz="15"/>
          <w:insideH w:val="single" w:sz="15"/>
          <w:insideV w:val="single" w:sz="15"/>
        </w:tblBorders>
      </w:tblPr>
      <w:tr>
        <w:trPr>
          <w:trHeight w:val="690" w:hRule="exact"/>
        </w:trPr>
        <w:tc>
          <w:tcPr>
            <w:tcW w:w="4295400" w:type="pct"/>
            <w:noWrap/>
          </w:tcPr>
          <w:p>
            <w:pPr>
              <w:jc w:val="center"/>
            </w:pPr>
            <w:r>
              <w:rPr/>
              <w:t xml:space="preserve">№ теста</w:t>
            </w:r>
          </w:p>
        </w:tc>
        <w:tc>
          <w:tcPr>
            <w:tcW w:w="106600" w:type="pct"/>
            <w:noWrap/>
          </w:tcPr>
          <w:p>
            <w:pPr>
              <w:jc w:val="center"/>
            </w:pPr>
            <w:r>
              <w:rPr/>
              <w:t xml:space="preserve">       Вид испытаний (тесты)</w:t>
            </w:r>
          </w:p>
        </w:tc>
        <w:tc>
          <w:tcPr>
            <w:tcW w:w="343150" w:type="pct"/>
            <w:gridSpan w:val="3"/>
            <w:noWrap/>
          </w:tcPr>
          <w:p>
            <w:pPr>
              <w:jc w:val="center"/>
            </w:pPr>
            <w:r>
              <w:rPr/>
              <w:t xml:space="preserve">Девушки</w:t>
            </w:r>
          </w:p>
        </w:tc>
      </w:tr>
      <w:tr>
        <w:trPr>
          <w:trHeight w:val="690" w:hRule="exact"/>
        </w:trPr>
        <w:tc>
          <w:tcPr>
            <w:tcW w:w="177100" w:type="pct"/>
            <w:noWrap/>
          </w:tcPr>
          <w:p>
            <w:pPr>
              <w:jc w:val="center"/>
            </w:pPr>
            <w:r>
              <w:rPr/>
              <w:t xml:space="preserve">1 очко</w:t>
            </w:r>
          </w:p>
        </w:tc>
        <w:tc>
          <w:tcPr>
            <w:tcW w:w="419850" w:type="pct"/>
            <w:noWrap/>
          </w:tcPr>
          <w:p>
            <w:pPr>
              <w:jc w:val="center"/>
            </w:pPr>
            <w:r>
              <w:rPr/>
              <w:t xml:space="preserve">2 очка</w:t>
            </w:r>
          </w:p>
        </w:tc>
        <w:tc>
          <w:tcPr>
            <w:tcW w:w="246200" w:type="pct"/>
            <w:noWrap/>
          </w:tcPr>
          <w:p>
            <w:pPr>
              <w:jc w:val="center"/>
            </w:pPr>
            <w:r>
              <w:rPr/>
              <w:t xml:space="preserve">3 очка</w:t>
            </w:r>
          </w:p>
        </w:tc>
      </w:tr>
      <w:tr>
        <w:trPr>
          <w:trHeight w:val="150" w:hRule="exact"/>
        </w:trPr>
        <w:tc>
          <w:tcPr>
            <w:tcW w:w="4295400" w:type="pct"/>
            <w:noWrap/>
          </w:tcPr>
          <w:p>
            <w:pPr>
              <w:jc w:val="center"/>
            </w:pPr>
            <w:r>
              <w:rPr/>
              <w:t xml:space="preserve">1.3</w:t>
            </w:r>
          </w:p>
        </w:tc>
        <w:tc>
          <w:tcPr>
            <w:tcW w:w="106600" w:type="pct"/>
            <w:noWrap/>
          </w:tcPr>
          <w:p>
            <w:pPr/>
            <w:r>
              <w:rPr/>
              <w:t xml:space="preserve">Наклон вперед из положения стоя с прямыми ногами на гимнастической скамье (см)</w:t>
            </w:r>
          </w:p>
          <w:p>
            <w:pPr/>
            <w:r>
              <w:rPr/>
              <w:t xml:space="preserve"> </w:t>
            </w:r>
          </w:p>
        </w:tc>
        <w:tc>
          <w:tcPr>
            <w:tcW w:w="177100" w:type="pct"/>
            <w:noWrap/>
          </w:tcPr>
          <w:p>
            <w:pPr>
              <w:jc w:val="center"/>
            </w:pPr>
            <w:r>
              <w:rPr/>
              <w:t xml:space="preserve">+7</w:t>
            </w:r>
          </w:p>
        </w:tc>
        <w:tc>
          <w:tcPr>
            <w:tcW w:w="419850" w:type="pct"/>
            <w:noWrap/>
          </w:tcPr>
          <w:p>
            <w:pPr>
              <w:jc w:val="center"/>
            </w:pPr>
            <w:r>
              <w:rPr/>
              <w:t xml:space="preserve">+9</w:t>
            </w:r>
          </w:p>
        </w:tc>
        <w:tc>
          <w:tcPr>
            <w:tcW w:w="246200" w:type="pct"/>
            <w:noWrap/>
          </w:tcPr>
          <w:p>
            <w:pPr>
              <w:jc w:val="center"/>
            </w:pPr>
            <w:r>
              <w:rPr/>
              <w:t xml:space="preserve">+16</w:t>
            </w:r>
          </w:p>
        </w:tc>
      </w:tr>
    </w:tbl>
    <w:p/>
    <w:p>
      <w:pPr/>
      <w:r>
        <w:rPr/>
        <w:t xml:space="preserve">Тест</w:t>
      </w:r>
    </w:p>
    <w:tbl>
      <w:tblGrid>
        <w:gridCol w:w="3990850" w:type="dxa"/>
        <w:gridCol w:w="32350" w:type="dxa"/>
        <w:gridCol w:w="158150" w:type="dxa"/>
        <w:gridCol w:w="380750" w:type="dxa"/>
        <w:gridCol w:w="192650" w:type="dxa"/>
      </w:tblGrid>
      <w:tblPr>
        <w:tblW w:w="454150" w:type="pct"/>
        <w:tblLayout w:type="autofit"/>
        <w:tblBorders>
          <w:top w:val="single" w:sz="15"/>
          <w:left w:val="single" w:sz="15"/>
          <w:right w:val="single" w:sz="15"/>
          <w:bottom w:val="single" w:sz="15"/>
          <w:insideH w:val="single" w:sz="15"/>
          <w:insideV w:val="single" w:sz="15"/>
        </w:tblBorders>
      </w:tblPr>
      <w:tr>
        <w:trPr/>
        <w:tc>
          <w:tcPr>
            <w:tcW w:w="3990850" w:type="pct"/>
            <w:noWrap/>
          </w:tcPr>
          <w:p>
            <w:pPr>
              <w:jc w:val="center"/>
            </w:pPr>
            <w:r>
              <w:rPr/>
              <w:t xml:space="preserve"> </w:t>
            </w:r>
          </w:p>
        </w:tc>
        <w:tc>
          <w:tcPr>
            <w:tcW w:w="32350" w:type="pct"/>
            <w:noWrap/>
          </w:tcPr>
          <w:p>
            <w:pPr>
              <w:jc w:val="center"/>
            </w:pPr>
            <w:r>
              <w:rPr/>
              <w:t xml:space="preserve"> </w:t>
            </w:r>
          </w:p>
        </w:tc>
        <w:tc>
          <w:tcPr>
            <w:tcW w:w="231550" w:type="pct"/>
            <w:gridSpan w:val="3"/>
            <w:noWrap/>
          </w:tcPr>
          <w:p>
            <w:pPr>
              <w:jc w:val="center"/>
            </w:pPr>
            <w:r>
              <w:rPr/>
              <w:t xml:space="preserve">Юноши</w:t>
            </w:r>
          </w:p>
        </w:tc>
      </w:tr>
      <w:tr>
        <w:trPr/>
        <w:tc>
          <w:tcPr>
            <w:tcW w:w="3990850" w:type="pct"/>
            <w:noWrap/>
          </w:tcPr>
          <w:p>
            <w:pPr>
              <w:jc w:val="center"/>
            </w:pPr>
            <w:r>
              <w:rPr/>
              <w:t xml:space="preserve">№ теста</w:t>
            </w:r>
          </w:p>
        </w:tc>
        <w:tc>
          <w:tcPr>
            <w:tcW w:w="32350" w:type="pct"/>
            <w:noWrap/>
          </w:tcPr>
          <w:p>
            <w:pPr>
              <w:jc w:val="center"/>
            </w:pPr>
            <w:r>
              <w:rPr/>
              <w:t xml:space="preserve">Виды испытаний (тесты)</w:t>
            </w:r>
          </w:p>
        </w:tc>
        <w:tc>
          <w:tcPr>
            <w:tcW w:w="158150" w:type="pct"/>
            <w:noWrap/>
          </w:tcPr>
          <w:p>
            <w:pPr>
              <w:jc w:val="center"/>
            </w:pPr>
            <w:r>
              <w:rPr/>
              <w:t xml:space="preserve">1 очко</w:t>
            </w:r>
          </w:p>
        </w:tc>
        <w:tc>
          <w:tcPr>
            <w:tcW w:w="380750" w:type="pct"/>
            <w:noWrap/>
          </w:tcPr>
          <w:p>
            <w:pPr>
              <w:jc w:val="center"/>
            </w:pPr>
            <w:r>
              <w:rPr/>
              <w:t xml:space="preserve">2 очка</w:t>
            </w:r>
          </w:p>
        </w:tc>
        <w:tc>
          <w:tcPr>
            <w:tcW w:w="192650" w:type="pct"/>
            <w:noWrap/>
          </w:tcPr>
          <w:p>
            <w:pPr>
              <w:jc w:val="center"/>
            </w:pPr>
            <w:r>
              <w:rPr/>
              <w:t xml:space="preserve">3 очка</w:t>
            </w:r>
          </w:p>
        </w:tc>
      </w:tr>
      <w:tr>
        <w:trPr/>
        <w:tc>
          <w:tcPr>
            <w:tcW w:w="3990850" w:type="pct"/>
            <w:noWrap/>
          </w:tcPr>
          <w:p>
            <w:pPr>
              <w:jc w:val="center"/>
            </w:pPr>
            <w:r>
              <w:rPr/>
              <w:t xml:space="preserve">1.4</w:t>
            </w:r>
          </w:p>
        </w:tc>
        <w:tc>
          <w:tcPr>
            <w:tcW w:w="32350" w:type="pct"/>
            <w:noWrap/>
          </w:tcPr>
          <w:p>
            <w:pPr/>
            <w:r>
              <w:rPr/>
              <w:t xml:space="preserve">Подтягивание из виса на высокой перекладине (кол-во раз)</w:t>
            </w:r>
          </w:p>
        </w:tc>
        <w:tc>
          <w:tcPr>
            <w:tcW w:w="158150" w:type="pct"/>
            <w:noWrap/>
          </w:tcPr>
          <w:p>
            <w:pPr>
              <w:jc w:val="center"/>
            </w:pPr>
            <w:r>
              <w:rPr/>
              <w:t xml:space="preserve">8</w:t>
            </w:r>
          </w:p>
        </w:tc>
        <w:tc>
          <w:tcPr>
            <w:tcW w:w="380750" w:type="pct"/>
            <w:noWrap/>
          </w:tcPr>
          <w:p>
            <w:pPr>
              <w:jc w:val="center"/>
            </w:pPr>
            <w:r>
              <w:rPr/>
              <w:t xml:space="preserve">12</w:t>
            </w:r>
          </w:p>
        </w:tc>
        <w:tc>
          <w:tcPr>
            <w:tcW w:w="192650" w:type="pct"/>
            <w:noWrap/>
          </w:tcPr>
          <w:p>
            <w:pPr>
              <w:jc w:val="center"/>
            </w:pPr>
            <w:r>
              <w:rPr/>
              <w:t xml:space="preserve">15</w:t>
            </w:r>
          </w:p>
        </w:tc>
      </w:tr>
    </w:tbl>
    <w:tbl>
      <w:tblGrid>
        <w:gridCol w:w="4659050" w:type="dxa"/>
        <w:gridCol w:w="247600" w:type="dxa"/>
        <w:gridCol w:w="229050" w:type="dxa"/>
        <w:gridCol w:w="85350" w:type="dxa"/>
        <w:gridCol w:w="263600" w:type="dxa"/>
      </w:tblGrid>
      <w:tblPr>
        <w:tblW w:w="409650" w:type="pct"/>
        <w:tblLayout w:type="autofit"/>
        <w:tblBorders>
          <w:top w:val="single" w:sz="15"/>
          <w:left w:val="single" w:sz="15"/>
          <w:right w:val="single" w:sz="15"/>
          <w:bottom w:val="single" w:sz="15"/>
          <w:insideH w:val="single" w:sz="15"/>
          <w:insideV w:val="single" w:sz="15"/>
        </w:tblBorders>
      </w:tblPr>
      <w:tr>
        <w:trPr>
          <w:trHeight w:val="690" w:hRule="exact"/>
        </w:trPr>
        <w:tc>
          <w:tcPr>
            <w:tcW w:w="4659050" w:type="pct"/>
            <w:noWrap/>
          </w:tcPr>
          <w:p>
            <w:pPr>
              <w:jc w:val="center"/>
            </w:pPr>
            <w:r>
              <w:rPr/>
              <w:t xml:space="preserve">№ теста</w:t>
            </w:r>
          </w:p>
        </w:tc>
        <w:tc>
          <w:tcPr>
            <w:tcW w:w="247600" w:type="pct"/>
            <w:noWrap/>
          </w:tcPr>
          <w:p>
            <w:pPr>
              <w:jc w:val="center"/>
            </w:pPr>
            <w:r>
              <w:rPr/>
              <w:t xml:space="preserve">       Вид испытаний (тесты)</w:t>
            </w:r>
          </w:p>
        </w:tc>
        <w:tc>
          <w:tcPr>
            <w:tcW w:w="7800" w:type="pct"/>
            <w:gridSpan w:val="3"/>
            <w:noWrap/>
          </w:tcPr>
          <w:p>
            <w:pPr>
              <w:jc w:val="center"/>
            </w:pPr>
            <w:r>
              <w:rPr/>
              <w:t xml:space="preserve">Девушки</w:t>
            </w:r>
          </w:p>
        </w:tc>
      </w:tr>
      <w:tr>
        <w:trPr>
          <w:trHeight w:val="465" w:hRule="exact"/>
        </w:trPr>
        <w:tc>
          <w:tcPr>
            <w:tcW w:w="229050" w:type="pct"/>
            <w:noWrap/>
          </w:tcPr>
          <w:p>
            <w:pPr>
              <w:jc w:val="center"/>
            </w:pPr>
            <w:r>
              <w:rPr/>
              <w:t xml:space="preserve">1 очко</w:t>
            </w:r>
          </w:p>
        </w:tc>
        <w:tc>
          <w:tcPr>
            <w:tcW w:w="85350" w:type="pct"/>
            <w:noWrap/>
          </w:tcPr>
          <w:p>
            <w:pPr>
              <w:jc w:val="center"/>
            </w:pPr>
            <w:r>
              <w:rPr/>
              <w:t xml:space="preserve">2 очка</w:t>
            </w:r>
          </w:p>
        </w:tc>
        <w:tc>
          <w:tcPr>
            <w:tcW w:w="263600" w:type="pct"/>
            <w:noWrap/>
          </w:tcPr>
          <w:p>
            <w:pPr>
              <w:jc w:val="center"/>
            </w:pPr>
            <w:r>
              <w:rPr/>
              <w:t xml:space="preserve">3 очка</w:t>
            </w:r>
          </w:p>
        </w:tc>
      </w:tr>
      <w:tr>
        <w:trPr>
          <w:trHeight w:val="150" w:hRule="exact"/>
        </w:trPr>
        <w:tc>
          <w:tcPr>
            <w:tcW w:w="4659050" w:type="pct"/>
            <w:noWrap/>
          </w:tcPr>
          <w:p>
            <w:pPr>
              <w:jc w:val="center"/>
            </w:pPr>
            <w:r>
              <w:rPr/>
              <w:t xml:space="preserve">1.4</w:t>
            </w:r>
          </w:p>
        </w:tc>
        <w:tc>
          <w:tcPr>
            <w:tcW w:w="247600" w:type="pct"/>
            <w:noWrap/>
          </w:tcPr>
          <w:p>
            <w:pPr/>
            <w:r>
              <w:rPr/>
              <w:t xml:space="preserve">Сгибание и разгибание рук в упоре лежа на полу (кол-во раз)</w:t>
            </w:r>
          </w:p>
        </w:tc>
        <w:tc>
          <w:tcPr>
            <w:tcW w:w="229050" w:type="pct"/>
            <w:noWrap/>
          </w:tcPr>
          <w:p>
            <w:pPr>
              <w:jc w:val="center"/>
            </w:pPr>
            <w:r>
              <w:rPr/>
              <w:t xml:space="preserve"> </w:t>
            </w:r>
          </w:p>
          <w:p>
            <w:pPr>
              <w:jc w:val="center"/>
            </w:pPr>
            <w:r>
              <w:rPr/>
              <w:t xml:space="preserve">8</w:t>
            </w:r>
          </w:p>
          <w:p>
            <w:pPr>
              <w:jc w:val="center"/>
            </w:pPr>
            <w:r>
              <w:rPr/>
              <w:t xml:space="preserve"> </w:t>
            </w:r>
          </w:p>
        </w:tc>
        <w:tc>
          <w:tcPr>
            <w:tcW w:w="85350" w:type="pct"/>
            <w:noWrap/>
          </w:tcPr>
          <w:p>
            <w:pPr>
              <w:jc w:val="center"/>
            </w:pPr>
            <w:r>
              <w:rPr/>
              <w:t xml:space="preserve"> </w:t>
            </w:r>
          </w:p>
          <w:p>
            <w:pPr>
              <w:jc w:val="center"/>
            </w:pPr>
            <w:r>
              <w:rPr/>
              <w:t xml:space="preserve">12</w:t>
            </w:r>
          </w:p>
          <w:p>
            <w:pPr>
              <w:jc w:val="center"/>
            </w:pPr>
            <w:r>
              <w:rPr/>
              <w:t xml:space="preserve"> </w:t>
            </w:r>
          </w:p>
        </w:tc>
        <w:tc>
          <w:tcPr>
            <w:tcW w:w="263600" w:type="pct"/>
            <w:noWrap/>
          </w:tcPr>
          <w:p>
            <w:pPr>
              <w:jc w:val="center"/>
            </w:pPr>
            <w:r>
              <w:rPr/>
              <w:t xml:space="preserve"> </w:t>
            </w:r>
          </w:p>
          <w:p>
            <w:pPr>
              <w:jc w:val="center"/>
            </w:pPr>
            <w:r>
              <w:rPr/>
              <w:t xml:space="preserve">17</w:t>
            </w:r>
          </w:p>
          <w:p>
            <w:pPr>
              <w:jc w:val="center"/>
            </w:pPr>
            <w:r>
              <w:rPr/>
              <w:t xml:space="preserve"> </w:t>
            </w:r>
          </w:p>
        </w:tc>
      </w:tr>
    </w:tbl>
    <w:p/>
    <w:p>
      <w:pPr/>
      <w:r>
        <w:rPr/>
        <w:t xml:space="preserve">Тест</w:t>
      </w:r>
    </w:p>
    <w:tbl>
      <w:tblGrid>
        <w:gridCol w:w="3089050" w:type="dxa"/>
        <w:gridCol w:w="208900" w:type="dxa"/>
        <w:gridCol w:w="8900" w:type="dxa"/>
        <w:gridCol w:w="8900" w:type="dxa"/>
        <w:gridCol w:w="8900" w:type="dxa"/>
      </w:tblGrid>
      <w:tblPr>
        <w:tblW w:w="4450" w:type="pct"/>
        <w:tblLayout w:type="autofit"/>
        <w:tblBorders>
          <w:top w:val="single" w:sz="15"/>
          <w:left w:val="single" w:sz="15"/>
          <w:right w:val="single" w:sz="15"/>
          <w:bottom w:val="single" w:sz="15"/>
          <w:insideH w:val="single" w:sz="15"/>
          <w:insideV w:val="single" w:sz="15"/>
        </w:tblBorders>
      </w:tblPr>
      <w:tr>
        <w:trPr>
          <w:trHeight w:val="690" w:hRule="exact"/>
        </w:trPr>
        <w:tc>
          <w:tcPr>
            <w:tcW w:w="3089050" w:type="pct"/>
            <w:noWrap/>
          </w:tcPr>
          <w:p>
            <w:pPr>
              <w:jc w:val="center"/>
            </w:pPr>
            <w:r>
              <w:rPr/>
              <w:t xml:space="preserve">№ теста</w:t>
            </w:r>
          </w:p>
        </w:tc>
        <w:tc>
          <w:tcPr>
            <w:tcW w:w="208900" w:type="pct"/>
            <w:noWrap/>
          </w:tcPr>
          <w:p>
            <w:pPr>
              <w:jc w:val="center"/>
            </w:pPr>
            <w:r>
              <w:rPr/>
              <w:t xml:space="preserve">       Вид испытаний (тесты)</w:t>
            </w:r>
          </w:p>
        </w:tc>
        <w:tc>
          <w:tcPr>
            <w:tcW w:w="26700" w:type="pct"/>
            <w:gridSpan w:val="3"/>
            <w:noWrap/>
          </w:tcPr>
          <w:p>
            <w:pPr>
              <w:jc w:val="center"/>
            </w:pPr>
            <w:r>
              <w:rPr/>
              <w:t xml:space="preserve">Девушки</w:t>
            </w:r>
          </w:p>
        </w:tc>
      </w:tr>
      <w:tr>
        <w:trPr>
          <w:trHeight w:val="690" w:hRule="exact"/>
        </w:trPr>
        <w:tc>
          <w:tcPr>
            <w:tcW w:w="8900" w:type="pct"/>
            <w:noWrap/>
          </w:tcPr>
          <w:p>
            <w:pPr>
              <w:jc w:val="center"/>
            </w:pPr>
            <w:r>
              <w:rPr/>
              <w:t xml:space="preserve">1 очко</w:t>
            </w:r>
          </w:p>
        </w:tc>
        <w:tc>
          <w:tcPr>
            <w:tcW w:w="8900" w:type="pct"/>
            <w:noWrap/>
          </w:tcPr>
          <w:p>
            <w:pPr>
              <w:jc w:val="center"/>
            </w:pPr>
            <w:r>
              <w:rPr/>
              <w:t xml:space="preserve">2 очка</w:t>
            </w:r>
          </w:p>
        </w:tc>
        <w:tc>
          <w:tcPr>
            <w:tcW w:w="8900" w:type="pct"/>
            <w:noWrap/>
          </w:tcPr>
          <w:p>
            <w:pPr>
              <w:jc w:val="center"/>
            </w:pPr>
            <w:r>
              <w:rPr/>
              <w:t xml:space="preserve">3 очка</w:t>
            </w:r>
          </w:p>
        </w:tc>
      </w:tr>
      <w:tr>
        <w:trPr>
          <w:trHeight w:val="960" w:hRule="exact"/>
        </w:trPr>
        <w:tc>
          <w:tcPr>
            <w:tcW w:w="3089050" w:type="pct"/>
            <w:noWrap/>
          </w:tcPr>
          <w:p>
            <w:pPr>
              <w:jc w:val="center"/>
            </w:pPr>
            <w:r>
              <w:rPr/>
              <w:t xml:space="preserve">1.6</w:t>
            </w:r>
          </w:p>
        </w:tc>
        <w:tc>
          <w:tcPr>
            <w:tcW w:w="208900" w:type="pct"/>
            <w:noWrap/>
          </w:tcPr>
          <w:p>
            <w:pPr/>
            <w:r>
              <w:rPr/>
              <w:t xml:space="preserve">Прыжок в длину с места толчком двумя ногами (см)</w:t>
            </w:r>
          </w:p>
        </w:tc>
        <w:tc>
          <w:tcPr>
            <w:tcW w:w="8900" w:type="pct"/>
            <w:noWrap/>
          </w:tcPr>
          <w:p>
            <w:pPr>
              <w:jc w:val="center"/>
            </w:pPr>
            <w:r>
              <w:rPr/>
              <w:t xml:space="preserve">157</w:t>
            </w:r>
          </w:p>
        </w:tc>
        <w:tc>
          <w:tcPr>
            <w:tcW w:w="8900" w:type="pct"/>
            <w:noWrap/>
          </w:tcPr>
          <w:p>
            <w:pPr>
              <w:jc w:val="center"/>
            </w:pPr>
            <w:r>
              <w:rPr/>
              <w:t xml:space="preserve">173</w:t>
            </w:r>
          </w:p>
        </w:tc>
        <w:tc>
          <w:tcPr>
            <w:tcW w:w="8900" w:type="pct"/>
            <w:noWrap/>
          </w:tcPr>
          <w:p>
            <w:pPr>
              <w:jc w:val="center"/>
            </w:pPr>
            <w:r>
              <w:rPr/>
              <w:t xml:space="preserve">188</w:t>
            </w:r>
          </w:p>
        </w:tc>
      </w:tr>
      <w:tr>
        <w:trPr>
          <w:trHeight w:val="690" w:hRule="exact"/>
        </w:trPr>
        <w:tc>
          <w:tcPr>
            <w:tcW w:w="3089050" w:type="pct"/>
            <w:noWrap/>
          </w:tcPr>
          <w:p>
            <w:pPr>
              <w:jc w:val="center"/>
            </w:pPr>
            <w:r>
              <w:rPr/>
              <w:t xml:space="preserve"> </w:t>
            </w:r>
          </w:p>
        </w:tc>
        <w:tc>
          <w:tcPr>
            <w:tcW w:w="208900" w:type="pct"/>
            <w:noWrap/>
          </w:tcPr>
          <w:p>
            <w:pPr/>
            <w:r>
              <w:rPr/>
              <w:t xml:space="preserve"> </w:t>
            </w:r>
          </w:p>
        </w:tc>
        <w:tc>
          <w:tcPr>
            <w:tcW w:w="26700" w:type="pct"/>
            <w:gridSpan w:val="3"/>
            <w:noWrap/>
          </w:tcPr>
          <w:p>
            <w:pPr>
              <w:jc w:val="center"/>
            </w:pPr>
            <w:r>
              <w:rPr/>
              <w:t xml:space="preserve">Юноши</w:t>
            </w:r>
          </w:p>
        </w:tc>
      </w:tr>
      <w:tr>
        <w:trPr>
          <w:trHeight w:val="735" w:hRule="exact"/>
        </w:trPr>
        <w:tc>
          <w:tcPr>
            <w:tcW w:w="3089050" w:type="pct"/>
            <w:noWrap/>
          </w:tcPr>
          <w:p>
            <w:pPr>
              <w:jc w:val="center"/>
            </w:pPr>
          </w:p>
        </w:tc>
        <w:tc>
          <w:tcPr>
            <w:tcW w:w="208900" w:type="pct"/>
            <w:noWrap/>
          </w:tcPr>
          <w:p>
            <w:pPr/>
          </w:p>
        </w:tc>
        <w:tc>
          <w:tcPr>
            <w:tcW w:w="8900" w:type="pct"/>
            <w:noWrap/>
          </w:tcPr>
          <w:p>
            <w:pPr>
              <w:jc w:val="center"/>
            </w:pPr>
            <w:r>
              <w:rPr/>
              <w:t xml:space="preserve">1 очко</w:t>
            </w:r>
          </w:p>
        </w:tc>
        <w:tc>
          <w:tcPr>
            <w:tcW w:w="8900" w:type="pct"/>
            <w:noWrap/>
          </w:tcPr>
          <w:p>
            <w:pPr>
              <w:jc w:val="center"/>
            </w:pPr>
            <w:r>
              <w:rPr/>
              <w:t xml:space="preserve">2 очка</w:t>
            </w:r>
          </w:p>
        </w:tc>
        <w:tc>
          <w:tcPr>
            <w:tcW w:w="8900" w:type="pct"/>
            <w:noWrap/>
          </w:tcPr>
          <w:p>
            <w:pPr>
              <w:jc w:val="center"/>
            </w:pPr>
            <w:r>
              <w:rPr/>
              <w:t xml:space="preserve">3 очка</w:t>
            </w:r>
          </w:p>
        </w:tc>
      </w:tr>
      <w:tr>
        <w:trPr/>
        <w:tc>
          <w:tcPr>
            <w:tcW w:w="3089050" w:type="pct"/>
            <w:noWrap/>
          </w:tcPr>
          <w:p>
            <w:pPr>
              <w:jc w:val="center"/>
            </w:pPr>
            <w:r>
              <w:rPr/>
              <w:t xml:space="preserve">1.6</w:t>
            </w:r>
          </w:p>
          <w:p>
            <w:pPr>
              <w:jc w:val="center"/>
            </w:pPr>
            <w:r>
              <w:rPr/>
              <w:t xml:space="preserve"> </w:t>
            </w:r>
          </w:p>
        </w:tc>
        <w:tc>
          <w:tcPr>
            <w:tcW w:w="208900" w:type="pct"/>
            <w:noWrap/>
          </w:tcPr>
          <w:p>
            <w:pPr/>
            <w:r>
              <w:rPr/>
              <w:t xml:space="preserve">Прыжок в длину с места толчком двумя ногами</w:t>
            </w:r>
          </w:p>
        </w:tc>
        <w:tc>
          <w:tcPr>
            <w:tcW w:w="8900" w:type="pct"/>
            <w:noWrap/>
          </w:tcPr>
          <w:p>
            <w:pPr>
              <w:jc w:val="center"/>
            </w:pPr>
            <w:r>
              <w:rPr/>
              <w:t xml:space="preserve">192</w:t>
            </w:r>
          </w:p>
        </w:tc>
        <w:tc>
          <w:tcPr>
            <w:tcW w:w="8900" w:type="pct"/>
            <w:noWrap/>
          </w:tcPr>
          <w:p>
            <w:pPr>
              <w:jc w:val="center"/>
            </w:pPr>
            <w:r>
              <w:rPr/>
              <w:t xml:space="preserve">213</w:t>
            </w:r>
          </w:p>
        </w:tc>
        <w:tc>
          <w:tcPr>
            <w:tcW w:w="8900" w:type="pct"/>
            <w:noWrap/>
          </w:tcPr>
          <w:p>
            <w:pPr>
              <w:jc w:val="center"/>
            </w:pPr>
            <w:r>
              <w:rPr/>
              <w:t xml:space="preserve">233</w:t>
            </w:r>
          </w:p>
        </w:tc>
      </w:tr>
    </w:tbl>
    <w:p/>
    <w:p>
      <w:pPr/>
      <w:r>
        <w:rPr/>
        <w:t xml:space="preserve">Тест</w:t>
      </w:r>
    </w:p>
    <w:tbl>
      <w:tblGrid>
        <w:gridCol w:w="2755650" w:type="dxa"/>
        <w:gridCol w:w="331150" w:type="dxa"/>
        <w:gridCol w:w="231100" w:type="dxa"/>
        <w:gridCol w:w="297800" w:type="dxa"/>
        <w:gridCol w:w="408900" w:type="dxa"/>
      </w:tblGrid>
      <w:tblPr>
        <w:tblW w:w="4450" w:type="pct"/>
        <w:tblLayout w:type="autofit"/>
        <w:tblBorders>
          <w:top w:val="single" w:sz="15"/>
          <w:left w:val="single" w:sz="15"/>
          <w:right w:val="single" w:sz="15"/>
          <w:bottom w:val="single" w:sz="15"/>
          <w:insideH w:val="single" w:sz="15"/>
          <w:insideV w:val="single" w:sz="15"/>
        </w:tblBorders>
      </w:tblPr>
      <w:tr>
        <w:trPr/>
        <w:tc>
          <w:tcPr>
            <w:tcW w:w="2755650" w:type="pct"/>
            <w:noWrap/>
          </w:tcPr>
          <w:p>
            <w:pPr>
              <w:jc w:val="center"/>
            </w:pPr>
            <w:r>
              <w:rPr/>
              <w:t xml:space="preserve">№ теста</w:t>
            </w:r>
          </w:p>
        </w:tc>
        <w:tc>
          <w:tcPr>
            <w:tcW w:w="331150" w:type="pct"/>
            <w:noWrap/>
          </w:tcPr>
          <w:p>
            <w:pPr>
              <w:jc w:val="center"/>
            </w:pPr>
            <w:r>
              <w:rPr/>
              <w:t xml:space="preserve">Виды испытаний (тесты)</w:t>
            </w:r>
          </w:p>
        </w:tc>
        <w:tc>
          <w:tcPr>
            <w:tcW w:w="231100" w:type="pct"/>
            <w:noWrap/>
          </w:tcPr>
          <w:p>
            <w:pPr>
              <w:jc w:val="center"/>
            </w:pPr>
            <w:r>
              <w:rPr/>
              <w:t xml:space="preserve">1 балл</w:t>
            </w:r>
          </w:p>
        </w:tc>
        <w:tc>
          <w:tcPr>
            <w:tcW w:w="297800" w:type="pct"/>
            <w:noWrap/>
          </w:tcPr>
          <w:p>
            <w:pPr>
              <w:jc w:val="center"/>
            </w:pPr>
            <w:r>
              <w:rPr/>
              <w:t xml:space="preserve">2 балла</w:t>
            </w:r>
          </w:p>
        </w:tc>
        <w:tc>
          <w:tcPr>
            <w:tcW w:w="408900" w:type="pct"/>
            <w:noWrap/>
          </w:tcPr>
          <w:p>
            <w:pPr>
              <w:jc w:val="center"/>
            </w:pPr>
            <w:r>
              <w:rPr/>
              <w:t xml:space="preserve">3 балла</w:t>
            </w:r>
          </w:p>
        </w:tc>
      </w:tr>
      <w:tr>
        <w:trPr/>
        <w:tc>
          <w:tcPr>
            <w:tcW w:w="2755650" w:type="pct"/>
            <w:noWrap/>
          </w:tcPr>
          <w:p>
            <w:pPr>
              <w:jc w:val="center"/>
            </w:pPr>
            <w:r>
              <w:rPr/>
              <w:t xml:space="preserve">1.7</w:t>
            </w:r>
          </w:p>
        </w:tc>
        <w:tc>
          <w:tcPr>
            <w:tcW w:w="331150" w:type="pct"/>
            <w:noWrap/>
          </w:tcPr>
          <w:p>
            <w:pPr>
              <w:jc w:val="center"/>
            </w:pPr>
            <w:r>
              <w:rPr/>
              <w:t xml:space="preserve">Тест для оценки теоретических знаний раздела №1 «Физическая культура в общекультурной и профессиональной подготовке студента» (сервер Moodle), (кол-во правильных ответов)</w:t>
            </w:r>
          </w:p>
        </w:tc>
        <w:tc>
          <w:tcPr>
            <w:tcW w:w="231100" w:type="pct"/>
            <w:noWrap/>
          </w:tcPr>
          <w:p>
            <w:pPr>
              <w:jc w:val="center"/>
            </w:pPr>
            <w:r>
              <w:rPr/>
              <w:t xml:space="preserve">10</w:t>
            </w:r>
          </w:p>
        </w:tc>
        <w:tc>
          <w:tcPr>
            <w:tcW w:w="297800" w:type="pct"/>
            <w:noWrap/>
          </w:tcPr>
          <w:p>
            <w:pPr>
              <w:jc w:val="center"/>
            </w:pPr>
            <w:r>
              <w:rPr/>
              <w:t xml:space="preserve">12</w:t>
            </w:r>
          </w:p>
        </w:tc>
        <w:tc>
          <w:tcPr>
            <w:tcW w:w="408900" w:type="pct"/>
            <w:noWrap/>
          </w:tcPr>
          <w:p>
            <w:pPr>
              <w:jc w:val="center"/>
            </w:pPr>
            <w:r>
              <w:rPr/>
              <w:t xml:space="preserve">14</w:t>
            </w:r>
          </w:p>
        </w:tc>
      </w:tr>
    </w:tbl>
    <w:p/>
    <w:p>
      <w:pPr/>
      <w:r>
        <w:rPr/>
        <w:t xml:space="preserve">Реферат</w:t>
      </w:r>
    </w:p>
    <w:p>
      <w:pPr/>
      <w:r>
        <w:rPr/>
        <w:t xml:space="preserve">Данное оценочное средство для студентов, освобождённых от практических занятий по дисциплине «Физическая культура и спорт» на длительный период.</w:t>
      </w:r>
    </w:p>
    <w:p>
      <w:pPr/>
      <w:r>
        <w:rPr/>
        <w:t xml:space="preserve">Критерии оценивания:</w:t>
      </w:r>
    </w:p>
    <w:p>
      <w:pPr/>
      <w:r>
        <w:rPr/>
        <w:t xml:space="preserve">При написании реферативной работы -  раскрыть степень научной разработанности различных проблем, связанных с темой исследования, сравнить альтернативные точки зрения, сформулировать собственную позицию. </w:t>
      </w:r>
      <w:r>
        <w:rPr>
          <w:i w:val="1"/>
          <w:iCs w:val="1"/>
        </w:rPr>
        <w:t xml:space="preserve">Реферат </w:t>
      </w:r>
      <w:r>
        <w:rPr/>
        <w:t xml:space="preserve">– это не переписывание литературных и прочих источников, а их анализ, сопоставление позиций различных авторов. Обязательна корректная расстановка ссылок, точное указание фамилий и инициалов ученых, приветствуется использование как отечественных, так и зарубежных (переводных) источников.</w:t>
      </w:r>
    </w:p>
    <w:p>
      <w:pPr/>
      <w:r>
        <w:rPr/>
        <w:t xml:space="preserve">Реферативная работа должна отвечать высоким квалификационным требованиям в отношении научности содержания и оформления. Объем реферата должен быть не менее 10-12 машинописных листов и содержать титульный лист, оглавление, текст, написанный по главам, выводы и список использованной литературы. Текст должен быть напечатан  14 шрифтом через 1,5 интервала на одой стороне стандартного листа А4 с соблюдением размеров полей: верхнее – 20 мм, правое – 10, левое и нижнее – не менее 20мм. Номера страниц указываются на середине верхней части листа без точек. Каждая страница нумеруется. Первой страницей считается титульный лист, второй - оглавление, (нумерация на них не ставится). Номера страниц указываются, начиная с третьего листа. Заголовки даются по центру. Текст реферата должен делиться на абзацы, и каждый абзац должен начинаться с красной строки. Связь списка литературы с текстом осуществляется с помощью ссылок. Например, если автор ссылается на работу, представленную в списке литературы под номером 7, то эта цифра, заключенная в скобки, ставится и в тексте реферата.</w:t>
      </w:r>
    </w:p>
    <w:p>
      <w:pPr/>
      <w:r>
        <w:rPr/>
        <w:t xml:space="preserve"> </w:t>
      </w:r>
    </w:p>
    <w:p/>
    <w:p>
      <w:pPr/>
      <w:r>
        <w:rPr/>
        <w:t xml:space="preserve">5.2. Промежуточная аттестация проводится в виде:</w:t>
      </w:r>
    </w:p>
    <w:p/>
    <w:p>
      <w:pPr/>
      <w:r>
        <w:rPr/>
        <w:t xml:space="preserve">Зачет</w:t>
      </w:r>
    </w:p>
    <w:p>
      <w:pPr/>
      <w:r>
        <w:rPr/>
        <w:t xml:space="preserve">При оценивании работы студентов используется </w:t>
      </w:r>
      <w:r>
        <w:rPr>
          <w:i w:val="1"/>
          <w:iCs w:val="1"/>
        </w:rPr>
        <w:t xml:space="preserve">балльная система</w:t>
      </w:r>
      <w:r>
        <w:rPr/>
        <w:t xml:space="preserve">.</w:t>
      </w:r>
    </w:p>
    <w:p>
      <w:pPr/>
      <w:r>
        <w:rPr/>
        <w:t xml:space="preserve">Балльная оценка по дисциплине определяется как сумма баллов, набранных студентом в результате работы в семестре.</w:t>
      </w:r>
    </w:p>
    <w:p>
      <w:pPr/>
      <w:r>
        <w:rPr/>
        <w:t xml:space="preserve">Используется накопительная модель, когда итоговая сумма баллов в семестре по дисциплине складывается из баллов (Б</w:t>
      </w:r>
      <w:r>
        <w:rPr>
          <w:vertAlign w:val="subscript"/>
        </w:rPr>
        <w:t xml:space="preserve">ит)</w:t>
      </w:r>
      <w:r>
        <w:rPr/>
        <w:t xml:space="preserve">, набранных в результате текущего контроля: посещаемость практических занятий (Б</w:t>
      </w:r>
      <w:r>
        <w:rPr>
          <w:vertAlign w:val="subscript"/>
        </w:rPr>
        <w:t xml:space="preserve">п</w:t>
      </w:r>
      <w:r>
        <w:rPr/>
        <w:t xml:space="preserve">) + результаты тестирования (Б</w:t>
      </w:r>
      <w:r>
        <w:rPr>
          <w:vertAlign w:val="subscript"/>
        </w:rPr>
        <w:t xml:space="preserve">т</w:t>
      </w:r>
      <w:r>
        <w:rPr/>
        <w:t xml:space="preserve">) + бонусные баллы (Б</w:t>
      </w:r>
      <w:r>
        <w:rPr>
          <w:vertAlign w:val="subscript"/>
        </w:rPr>
        <w:t xml:space="preserve">б</w:t>
      </w:r>
      <w:r>
        <w:rPr/>
        <w:t xml:space="preserve">). Б</w:t>
      </w:r>
      <w:r>
        <w:rPr>
          <w:vertAlign w:val="subscript"/>
        </w:rPr>
        <w:t xml:space="preserve">ит = </w:t>
      </w:r>
      <w:r>
        <w:rPr/>
        <w:t xml:space="preserve">Б</w:t>
      </w:r>
      <w:r>
        <w:rPr>
          <w:vertAlign w:val="subscript"/>
        </w:rPr>
        <w:t xml:space="preserve">п</w:t>
      </w:r>
      <w:r>
        <w:rPr/>
        <w:t xml:space="preserve"> + Б</w:t>
      </w:r>
      <w:r>
        <w:rPr>
          <w:vertAlign w:val="subscript"/>
        </w:rPr>
        <w:t xml:space="preserve">т</w:t>
      </w:r>
      <w:r>
        <w:rPr/>
        <w:t xml:space="preserve">+ Б</w:t>
      </w:r>
      <w:r>
        <w:rPr>
          <w:vertAlign w:val="subscript"/>
        </w:rPr>
        <w:t xml:space="preserve">б</w:t>
      </w:r>
      <w:r>
        <w:rPr/>
        <w:t xml:space="preserve">.</w:t>
      </w:r>
    </w:p>
    <w:p>
      <w:pPr/>
      <w:r>
        <w:rPr/>
        <w:t xml:space="preserve">Пример начисления баллов:</w:t>
      </w:r>
    </w:p>
    <w:p>
      <w:pPr>
        <w:numPr>
          <w:ilvl w:val="0"/>
          <w:numId w:val="1"/>
        </w:numPr>
      </w:pPr>
      <w:r>
        <w:rPr/>
        <w:t xml:space="preserve">Б</w:t>
      </w:r>
      <w:r>
        <w:rPr>
          <w:vertAlign w:val="subscript"/>
        </w:rPr>
        <w:t xml:space="preserve">п</w:t>
      </w:r>
      <w:r>
        <w:rPr/>
        <w:t xml:space="preserve"> - посещаемость практических занятий - 2 балла одно практическое занятие;</w:t>
      </w:r>
    </w:p>
    <w:p>
      <w:pPr>
        <w:numPr>
          <w:ilvl w:val="0"/>
          <w:numId w:val="1"/>
        </w:numPr>
      </w:pPr>
      <w:r>
        <w:rPr/>
        <w:t xml:space="preserve">Б</w:t>
      </w:r>
      <w:r>
        <w:rPr>
          <w:vertAlign w:val="subscript"/>
        </w:rPr>
        <w:t xml:space="preserve">т</w:t>
      </w:r>
      <w:r>
        <w:rPr/>
        <w:t xml:space="preserve"> - результаты тестирования: (6 тестов ОФП + 3 технических теста по виду спорта) – максимально 12 баллов.</w:t>
      </w:r>
    </w:p>
    <w:p>
      <w:pPr>
        <w:numPr>
          <w:ilvl w:val="0"/>
          <w:numId w:val="1"/>
        </w:numPr>
      </w:pPr>
      <w:r>
        <w:rPr/>
        <w:t xml:space="preserve">Б</w:t>
      </w:r>
      <w:r>
        <w:rPr>
          <w:vertAlign w:val="subscript"/>
        </w:rPr>
        <w:t xml:space="preserve">б</w:t>
      </w:r>
      <w:r>
        <w:rPr>
          <w:i w:val="1"/>
          <w:iCs w:val="1"/>
        </w:rPr>
        <w:t xml:space="preserve"> - дополнительные (бонусные) балл:</w:t>
      </w:r>
    </w:p>
    <w:p>
      <w:pPr>
        <w:numPr>
          <w:ilvl w:val="0"/>
          <w:numId w:val="2"/>
        </w:numPr>
      </w:pPr>
      <w:r>
        <w:rPr/>
        <w:t xml:space="preserve">за спортивно - физкультурную активность в течение семестра начисляются:</w:t>
      </w:r>
    </w:p>
    <w:p>
      <w:pPr>
        <w:numPr>
          <w:ilvl w:val="0"/>
          <w:numId w:val="3"/>
        </w:numPr>
      </w:pPr>
      <w:r>
        <w:rPr/>
        <w:t xml:space="preserve">членам сборных команд университета по видам спорта (по списку спортклуба, исключением являются виды спорта, где соревновательная спортивная деятельность сводится к абстрактно логическому противостоянию соперников (шахматы, шашки).</w:t>
      </w:r>
    </w:p>
    <w:p>
      <w:pPr>
        <w:numPr>
          <w:ilvl w:val="0"/>
          <w:numId w:val="3"/>
        </w:numPr>
      </w:pPr>
      <w:r>
        <w:rPr/>
        <w:t xml:space="preserve">за участие в соревнованиях разного ранга - от 2-х и более баллов в зависимости от статуса соревнований, занятого места (наличие протокола);</w:t>
      </w:r>
    </w:p>
    <w:p>
      <w:pPr>
        <w:numPr>
          <w:ilvl w:val="0"/>
          <w:numId w:val="3"/>
        </w:numPr>
      </w:pPr>
      <w:r>
        <w:rPr/>
        <w:t xml:space="preserve">за участие в соревнованиях университета, включенных в календарный план – от 2 до 4 баллов;</w:t>
      </w:r>
    </w:p>
    <w:p>
      <w:pPr>
        <w:numPr>
          <w:ilvl w:val="0"/>
          <w:numId w:val="3"/>
        </w:numPr>
      </w:pPr>
      <w:r>
        <w:rPr/>
        <w:t xml:space="preserve">за участие в организации и судействе соревнований/волонтерская деятельность – от 2 и более баллов в зависимости от затраченного времени (предоставление отчета);</w:t>
      </w:r>
    </w:p>
    <w:p>
      <w:pPr>
        <w:numPr>
          <w:ilvl w:val="0"/>
          <w:numId w:val="4"/>
        </w:numPr>
      </w:pPr>
      <w:r>
        <w:rPr/>
        <w:t xml:space="preserve">поход выходного дня – 2 балла.</w:t>
      </w:r>
    </w:p>
    <w:p>
      <w:pPr>
        <w:numPr>
          <w:ilvl w:val="0"/>
          <w:numId w:val="4"/>
        </w:numPr>
      </w:pPr>
      <w:r>
        <w:rPr/>
        <w:t xml:space="preserve">за научную деятельность:</w:t>
      </w:r>
    </w:p>
    <w:p>
      <w:pPr/>
      <w:r>
        <w:rPr/>
        <w:t xml:space="preserve">- участие в научных конференциях, выступление с докладом, подготовка статьи – от 2-х баллов в зависимости от выполненных работ.</w:t>
      </w:r>
    </w:p>
    <w:p>
      <w:pPr/>
      <w:r>
        <w:rPr/>
        <w:t xml:space="preserve"> </w:t>
      </w:r>
    </w:p>
    <w:p>
      <w:pPr/>
      <w:r>
        <w:rPr>
          <w:i w:val="1"/>
          <w:iCs w:val="1"/>
        </w:rPr>
        <w:t xml:space="preserve">Сумма баллов</w:t>
      </w:r>
      <w:r>
        <w:rPr/>
        <w:t xml:space="preserve">, набранных студентами по результатам каждого вида контроля, включая бонусные баллы, заносится преподавателем, проводящим аттестацию в соответствующую форму (ведомость), которая используется в течение всего семестра.</w:t>
      </w:r>
    </w:p>
    <w:p>
      <w:pPr/>
      <w:r>
        <w:rPr/>
        <w:t xml:space="preserve">К началу каждого семестра кафедра конкретизирует в предложенных рамках балльные шкалы и порядок проведения текущей и промежуточной аттестации, и эти сведения через преподавателей доводятся до студентов на первом учебном занятии.</w:t>
      </w:r>
    </w:p>
    <w:p>
      <w:pPr/>
      <w:r>
        <w:rPr>
          <w:b w:val="1"/>
          <w:bCs w:val="1"/>
          <w:i w:val="1"/>
          <w:iCs w:val="1"/>
        </w:rPr>
        <w:t xml:space="preserve">«Зачтено»</w:t>
      </w:r>
      <w:r>
        <w:rPr/>
        <w:t xml:space="preserve"> ставится по дисциплине «Физическая культура и спорт», если набрано определённое минимальное количество баллов (цифра оговаривается в начале семестра и соответствует учебному плану института). Баллы начисляются за посещение практических занятий,  выполнение требований текущего и промежуточного контроля.</w:t>
      </w:r>
    </w:p>
    <w:p>
      <w:pPr/>
      <w:r>
        <w:rPr>
          <w:b w:val="1"/>
          <w:bCs w:val="1"/>
          <w:i w:val="1"/>
          <w:iCs w:val="1"/>
        </w:rPr>
        <w:t xml:space="preserve"> «Не зачтено»</w:t>
      </w:r>
      <w:r>
        <w:rPr/>
        <w:t xml:space="preserve"> ставится обучающемуся, если он не набрал в семестре определённого в семестре (цифра оговаривается в начале семестра и соответствует учебному плану института) минимального количества баллов за посещение учебно-тренировочных занятий, выполнение требование текущего и промежуточного контроля.</w:t>
      </w:r>
    </w:p>
    <w:p>
      <w:pPr/>
      <w:r>
        <w:rPr/>
        <w:t xml:space="preserve"> </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На изучение дисциплины «Физическая культура и спорт» отводится 72 часа, из них 68 часов аудиторной (практической) и 4 часа для самостоятельной работы студентов.</w:t>
      </w:r>
    </w:p>
    <w:p>
      <w:pPr/>
      <w:r>
        <w:rPr/>
        <w:t xml:space="preserve">Занятия по физической культуре проводятся 2 раза в неделю (4 часа).</w:t>
      </w:r>
    </w:p>
    <w:p>
      <w:pPr/>
      <w:r>
        <w:rPr/>
        <w:t xml:space="preserve">Освобождением от занятий по физической культуре на период болезни и допуском к занятиям после нее является медицинская справка</w:t>
      </w:r>
    </w:p>
    <w:p>
      <w:pPr/>
      <w:r>
        <w:rPr/>
        <w:t xml:space="preserve">Для эффективного усвоения материала курса студент обязан:</w:t>
      </w:r>
    </w:p>
    <w:p>
      <w:pPr/>
      <w:r>
        <w:rPr/>
        <w:t xml:space="preserve">посещать все практические занятия – минимальное количество баллов в семестре 54;</w:t>
      </w:r>
    </w:p>
    <w:p>
      <w:pPr/>
      <w:r>
        <w:rPr/>
        <w:t xml:space="preserve">принимать участие во всех формах  текущего контроля:  при сдаче контрольных нормативов по ОФП студент должен сдать мининум 3 теста на 4 балла;  </w:t>
      </w:r>
    </w:p>
    <w:p>
      <w:pPr/>
      <w:r>
        <w:rPr/>
        <w:t xml:space="preserve">регулярно прорабатывать (как в рамках учебного процесса, так и самостоятельно) рекомендованную литературу по каждой теме.</w:t>
      </w:r>
    </w:p>
    <w:p>
      <w:pPr/>
      <w:r>
        <w:rPr/>
        <w:t xml:space="preserve"> </w:t>
      </w:r>
    </w:p>
    <w:p>
      <w:pPr/>
      <w:r>
        <w:rPr/>
        <w:t xml:space="preserve">Обучающиеся первого курса, отнесённый по состоянию здоровья к подготовительной и специальной медицинской группам, обязаны предоставить медицинскую справку справку.  На основании данных о состоянии здоровья для проведения практических занятий студенты распределяются на 3 группы:</w:t>
      </w:r>
    </w:p>
    <w:p>
      <w:pPr/>
      <w:r>
        <w:rPr/>
        <w:t xml:space="preserve"> </w:t>
      </w:r>
    </w:p>
    <w:tbl>
      <w:tblGrid>
        <w:gridCol w:w="2130" w:type="dxa"/>
        <w:gridCol w:w="3735" w:type="dxa"/>
        <w:gridCol w:w="3885" w:type="dxa"/>
      </w:tblGrid>
      <w:tblPr>
        <w:tblW w:w="9750" w:type="dxa"/>
        <w:tblLayout w:type="autofit"/>
      </w:tblPr>
      <w:tr>
        <w:trPr/>
        <w:tc>
          <w:tcPr>
            <w:tcW w:w="2130" w:type="dxa"/>
            <w:noWrap/>
          </w:tcPr>
          <w:p>
            <w:pPr/>
            <w:r>
              <w:rPr/>
              <w:t xml:space="preserve">Наименование группы</w:t>
            </w:r>
          </w:p>
        </w:tc>
        <w:tc>
          <w:tcPr>
            <w:tcW w:w="3735" w:type="dxa"/>
            <w:noWrap/>
          </w:tcPr>
          <w:p>
            <w:pPr/>
            <w:r>
              <w:rPr/>
              <w:t xml:space="preserve">Медицинская характеристика группы</w:t>
            </w:r>
          </w:p>
        </w:tc>
        <w:tc>
          <w:tcPr>
            <w:tcW w:w="3885" w:type="dxa"/>
            <w:noWrap/>
          </w:tcPr>
          <w:p>
            <w:pPr/>
            <w:r>
              <w:rPr/>
              <w:t xml:space="preserve">Допускаемая  физическая нагрузка</w:t>
            </w:r>
          </w:p>
        </w:tc>
      </w:tr>
      <w:tr>
        <w:trPr/>
        <w:tc>
          <w:tcPr>
            <w:tcW w:w="2130" w:type="dxa"/>
            <w:noWrap/>
          </w:tcPr>
          <w:p>
            <w:pPr/>
            <w:r>
              <w:rPr/>
              <w:t xml:space="preserve"> </w:t>
            </w:r>
          </w:p>
          <w:p>
            <w:pPr/>
            <w:r>
              <w:rPr/>
              <w:t xml:space="preserve">Основная</w:t>
            </w:r>
          </w:p>
        </w:tc>
        <w:tc>
          <w:tcPr>
            <w:tcW w:w="3735" w:type="dxa"/>
            <w:noWrap/>
          </w:tcPr>
          <w:p>
            <w:pPr/>
            <w:r>
              <w:rPr/>
              <w:t xml:space="preserve">Лица без отклонений в состоянии здоровья, а также лица, имеющие незначительные отклонения в состоянии здоровья</w:t>
            </w:r>
          </w:p>
          <w:p>
            <w:pPr/>
            <w:r>
              <w:rPr/>
              <w:t xml:space="preserve">при достаточном физическом развитии и физической подготовленности.</w:t>
            </w:r>
          </w:p>
        </w:tc>
        <w:tc>
          <w:tcPr>
            <w:tcW w:w="3885" w:type="dxa"/>
            <w:noWrap/>
          </w:tcPr>
          <w:p>
            <w:pPr/>
            <w:r>
              <w:rPr/>
              <w:t xml:space="preserve">Посещение практических занятий в полном объеме, занятия в спортивных секциях, участие в соревнованиях. Сдача контрольных нормативов в полном объеме (6 тестов).</w:t>
            </w:r>
          </w:p>
        </w:tc>
      </w:tr>
      <w:tr>
        <w:trPr/>
        <w:tc>
          <w:tcPr>
            <w:tcW w:w="2130" w:type="dxa"/>
            <w:noWrap/>
          </w:tcPr>
          <w:p>
            <w:pPr/>
            <w:r>
              <w:rPr/>
              <w:t xml:space="preserve">Подготовительная</w:t>
            </w:r>
          </w:p>
        </w:tc>
        <w:tc>
          <w:tcPr>
            <w:tcW w:w="3735" w:type="dxa"/>
            <w:noWrap/>
          </w:tcPr>
          <w:p>
            <w:pPr/>
            <w:r>
              <w:rPr/>
              <w:t xml:space="preserve">Лица без отклонений в состоянии здоровья, а также лица, имеющие незначительные отклонения в состоянии здоровья с недостаточным физическим развитием и недостаточной физической подготовленностью.</w:t>
            </w:r>
          </w:p>
        </w:tc>
        <w:tc>
          <w:tcPr>
            <w:tcW w:w="3885" w:type="dxa"/>
            <w:noWrap/>
          </w:tcPr>
          <w:p>
            <w:pPr/>
            <w:r>
              <w:rPr/>
              <w:t xml:space="preserve">Посещение практических занятий при условии постепенного освоения комплекса двигательных навыков и умений, особенно связанных с предъявлением к организму повышенных требований. Сдача контрольных нормативов в зависимости от медицинских показаний.</w:t>
            </w:r>
          </w:p>
          <w:p>
            <w:pPr/>
            <w:r>
              <w:rPr/>
              <w:t xml:space="preserve"> </w:t>
            </w:r>
          </w:p>
        </w:tc>
      </w:tr>
      <w:tr>
        <w:trPr/>
        <w:tc>
          <w:tcPr>
            <w:tcW w:w="2130" w:type="dxa"/>
            <w:noWrap/>
          </w:tcPr>
          <w:p>
            <w:pPr/>
            <w:r>
              <w:rPr/>
              <w:t xml:space="preserve">Специальная медицинская</w:t>
            </w:r>
          </w:p>
        </w:tc>
        <w:tc>
          <w:tcPr>
            <w:tcW w:w="3735" w:type="dxa"/>
            <w:noWrap/>
          </w:tcPr>
          <w:p>
            <w:pPr/>
            <w:r>
              <w:rPr/>
              <w:t xml:space="preserve">Лица, имеющие отклонения в состоянии здоровья постоянного и временного характера, требующие ограничения физических нагрузок.</w:t>
            </w:r>
          </w:p>
        </w:tc>
        <w:tc>
          <w:tcPr>
            <w:tcW w:w="3885" w:type="dxa"/>
            <w:noWrap/>
          </w:tcPr>
          <w:p>
            <w:pPr/>
            <w:r>
              <w:rPr/>
              <w:t xml:space="preserve">Занятия по специальным учебным программам.</w:t>
            </w:r>
          </w:p>
        </w:tc>
      </w:tr>
    </w:tbl>
    <w:p>
      <w:pPr/>
      <w:r>
        <w:rPr/>
        <w:t xml:space="preserve"> </w:t>
      </w:r>
    </w:p>
    <w:p>
      <w:pPr/>
      <w:r>
        <w:rPr/>
        <w:t xml:space="preserve">Обучающиеся, освобожденные от практических занятий по дисциплине «Физическая культура и спорт» на длительный период, самостоятельно прорабатывают теоретический материал, используя рекомендуемую литературу и сервер Moodle. Получают зачет после защиты реферативных работ.</w:t>
      </w:r>
    </w:p>
    <w:p>
      <w:pPr/>
      <w:r>
        <w:rPr/>
        <w:t xml:space="preserve">Обучающиеся, отнесенные к специальной медицинской группе, занимаются по специально разработанной программе.</w:t>
      </w:r>
    </w:p>
    <w:p>
      <w:pPr/>
      <w:r>
        <w:rPr/>
        <w:t xml:space="preserve">На основании Письма Минобразования Российской Федерации «Об оценивании и</w:t>
      </w:r>
      <w:br/>
      <w:r>
        <w:rPr/>
        <w:t xml:space="preserve">аттестации учащихся, отнесенных по состоянию здоровья к специальной медицинской</w:t>
      </w:r>
    </w:p>
    <w:p>
      <w:pPr/>
      <w:r>
        <w:rPr/>
        <w:t xml:space="preserve">группе для занятий физической культурой» № 13-51-263/123 от 31.10.2003 г. ограничения здоровья не означают, что обучающийся пропускает учебные занятия по</w:t>
      </w:r>
      <w:br/>
      <w:r>
        <w:rPr/>
        <w:t xml:space="preserve">физкультуре и не проходит аттестацию по предмету.</w:t>
      </w:r>
      <w:br/>
      <w:r>
        <w:rPr/>
        <w:t xml:space="preserve">Освобождение может быть только временным. Учащийся освобождается на период,</w:t>
      </w:r>
      <w:br/>
      <w:r>
        <w:rPr/>
        <w:t xml:space="preserve">который указан в справке. Наличие освобождения само по себе не дает права обучающемуся не ходить на занятия. Освобожденный учащийся обязан посещать учебные занятия по физической культуре, при этом выполнение физических упражнений не обязательно. Отсутствие на занятии возможно по согласованию с преподавателем. При этом обучающийся выполняет теоретические, методико-практические работы,</w:t>
      </w:r>
      <w:br/>
      <w:r>
        <w:rPr/>
        <w:t xml:space="preserve">исследовательские работы по заданию преподавателя.</w:t>
      </w:r>
    </w:p>
    <w:p>
      <w:pPr/>
      <w:r>
        <w:rPr/>
        <w:t xml:space="preserve">Самостоятельная работа направлена на самостоятельное изучение отдельных тем / вопросов учебной дисциплины. Самостоятельная работа является обязательной для каждого обучающегося, ее объем определяется учебным планом.</w:t>
      </w:r>
    </w:p>
    <w:p>
      <w:pPr/>
      <w:r>
        <w:rPr/>
        <w:t xml:space="preserve">Самостоятельная работа проводится по рекомендуемым учебникам в разделе 8 «Учебно-методическое и информационное обеспечение дисциплины», учебным пособиям, научной, справочной и популярной литературе, материалам периодических изданий и Интернета.</w:t>
      </w:r>
    </w:p>
    <w:p>
      <w:pPr/>
      <w:r>
        <w:rPr/>
        <w:t xml:space="preserve"> </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Программа учебной дисциплины «Физическая культура и спорт» обобщает опыт предшествующей подготовки и опирается на имеющийся у студентов уровень общекультурного и физического развития.</w:t>
      </w:r>
    </w:p>
    <w:p>
      <w:pPr/>
      <w:r>
        <w:rPr/>
        <w:t xml:space="preserve">На первом занятии по данной учебной дисциплине необходимо ознакомить студентов с порядком её изучения, раскрыть место и роль дисциплины в системе наук, её практическое значение, довести до студентов требования кафедры, требования техники безопасности, ответить на вопросы.</w:t>
      </w:r>
    </w:p>
    <w:p>
      <w:pPr/>
      <w:r>
        <w:rPr/>
        <w:t xml:space="preserve">При подготовке к занятиям необходимо продумать план проведения, содержание вступительной, основной и заключительной части, ознакомиться с новинками учебной и методической литературы, публикациями периодической печати по теме занятия. Определить средства материально-технического обеспечения занятия и порядок их использования.</w:t>
      </w:r>
    </w:p>
    <w:p>
      <w:pPr/>
      <w:r>
        <w:rPr/>
        <w:t xml:space="preserve">В ходе занятия преподаватель должен назвать тему, раскрыть её практическое значение и  руководить работой студентов по усвоению учебного материала. После каждого занятия сделать соответствующую запись в журналах учёта посещаемости занятий студентами. Проводить групповые и индивидуальные консультации студентов в ходе их подготовки к зачету по учебной дисциплине.</w:t>
      </w:r>
    </w:p>
    <w:p>
      <w:pPr/>
      <w:r>
        <w:rPr/>
        <w:t xml:space="preserve">При оценивании работы студентов используется </w:t>
      </w:r>
      <w:r>
        <w:rPr>
          <w:b w:val="1"/>
          <w:bCs w:val="1"/>
          <w:i w:val="1"/>
          <w:iCs w:val="1"/>
        </w:rPr>
        <w:t xml:space="preserve">балльная система</w:t>
      </w:r>
      <w:r>
        <w:rPr/>
        <w:t xml:space="preserve">.</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5"/>
        </w:numPr>
      </w:pPr>
      <w:r>
        <w:rPr/>
        <w:t xml:space="preserve">Виленский, М. Я. Физическая культура и здоровый образ жизни студента : учеб.пособие для студентов вузов, изучающих дисциплину "Физическая культура", кроме направлений и спец. в области физической культуры и спорта / М. Я. Виленский, А. Г. Горшков. - Москва : ГАРДАРИКИ, 2007. - 219 с. : ил., табл. ;22 см. - (Disciplinae). - Глоссарий: с. 211-214. - Библиогр.: с. 215-216. - ISBN 978-5-8297-0316-5</w:t>
      </w:r>
    </w:p>
    <w:p>
      <w:pPr>
        <w:numPr>
          <w:ilvl w:val="0"/>
          <w:numId w:val="5"/>
        </w:numPr>
      </w:pPr>
      <w:r>
        <w:rPr/>
        <w:t xml:space="preserve">Холодов, Ж. К. Теория и методика физического воспитания и спорта : учебное пособие для студентов высших учебных заведений, обучающихся по специальности "Физическая культура" / Ж. К. Холодов, В. С. Кузнецов. - 7-е изд., стер. - Москва : Академия, 2009. - 480 с. : ил., табл. ;22 см. - (Высшее профессиональное образование). - ISBN 978-5-7695-6214-3</w:t>
      </w:r>
    </w:p>
    <w:p>
      <w:pPr>
        <w:numPr>
          <w:ilvl w:val="0"/>
          <w:numId w:val="5"/>
        </w:numPr>
      </w:pPr>
      <w:r>
        <w:rPr/>
        <w:t xml:space="preserve">Физическая культура : учебник / Л.В. Захарова, Н.В. Люлина, М.Д. Кудрявцев и др. ; Министерство образования и науки Российской Федерации, Сибирский Федеральный университет, Красноярский государственный педагогический университет им. В. П. Астафьева, Сибирский государственный университет науки и технологий им. акад. М. Ф. Решетнёва и др. - Красноярск : СФУ, 2017. - 612 с. : ил. - Библиогр.: с. 608-609. - ISBN 978-5-7638-3640-0 ; То же [Электронный ресурс]. - URL: </w:t>
      </w:r>
      <w:hyperlink r:id="rId7" w:history="1">
        <w:r>
          <w:rPr/>
          <w:t xml:space="preserve">http://biblioclub.ru/index.php?page=book&amp;id=497151</w:t>
        </w:r>
      </w:hyperlink>
    </w:p>
    <w:p>
      <w:pPr>
        <w:jc w:val="both"/>
        <w:ind w:left="0" w:right="0" w:firstLine="570" w:hanging="0"/>
        <w:spacing w:before="240" w:after="240"/>
      </w:pPr>
      <w:r>
        <w:rPr>
          <w:b w:val="1"/>
          <w:bCs w:val="1"/>
        </w:rPr>
        <w:t xml:space="preserve">8.2. Дополнительная литература:</w:t>
      </w:r>
    </w:p>
    <w:p>
      <w:pPr>
        <w:numPr>
          <w:ilvl w:val="0"/>
          <w:numId w:val="6"/>
        </w:numPr>
      </w:pPr>
      <w:r>
        <w:rPr/>
        <w:t xml:space="preserve">Усаков, В.И. Студенту о здоровье и физическом воспитании : учебное пособие / В.И. Усаков. - Москва ; Берлин : Директ-Медиа, 2016. - 104 с. : ил., табл. - Библиогр. в кн. - ISBN 978-5-4475-7955-5 ; То же [Электронный ресурс]. - URL: </w:t>
      </w:r>
      <w:hyperlink r:id="rId8" w:history="1">
        <w:r>
          <w:rPr/>
          <w:t xml:space="preserve">http://biblioclub.ru/index.php?page=book&amp;id=441285</w:t>
        </w:r>
      </w:hyperlink>
    </w:p>
    <w:p>
      <w:pPr>
        <w:numPr>
          <w:ilvl w:val="0"/>
          <w:numId w:val="6"/>
        </w:numPr>
      </w:pPr>
      <w:r>
        <w:rPr/>
        <w:t xml:space="preserve">Общая физическая подготовка в рамках самостоятельных занятий студентов : учебное пособие / М.С. Эммерт, О.О. Фадина, И.Н. Шевелева, О.А. Мельникова ; Минобрнауки России, Омский государственный технический университет. - Омск : Издательство ОмГТУ, 2017. - 112 с. : табл., ил. - Библиогр.: с. 98. - ISBN 978-5-8149-2547-3 ; То же [Электронный ресурс]. - URL: </w:t>
      </w:r>
      <w:hyperlink r:id="rId9" w:history="1">
        <w:r>
          <w:rPr/>
          <w:t xml:space="preserve">http://biblioclub.ru/index.php?page=book&amp;id=493420</w:t>
        </w:r>
      </w:hyperlink>
    </w:p>
    <w:p>
      <w:pPr>
        <w:numPr>
          <w:ilvl w:val="0"/>
          <w:numId w:val="6"/>
        </w:numPr>
      </w:pPr>
      <w:r>
        <w:rPr/>
        <w:t xml:space="preserve">Чуприна, Е.В. Здоровый образ жизни как один из аспектов безопасности жизнедеятельности : учебное пособие / Е.В. Чуприна, М.Н. Закирова ; Министерство образования и науки РФ, Федеральное государственное бюджетное образовательное учреждение высшего профессионального образования «Самарский государственный архитектурно-строительный университет». - Самара : Самарский государственный архитектурно-строительный университет, 2013. - 216 с. : ил. - Библиогр. в кн. - ISBN 987-5-9585-0556-2 ; То же [Электронный ресурс]. - URL: </w:t>
      </w:r>
      <w:hyperlink r:id="rId10" w:history="1">
        <w:r>
          <w:rPr/>
          <w:t xml:space="preserve">http://biblioclub.ru/index.php?page=book&amp;id=256099</w:t>
        </w:r>
      </w:hyperlink>
    </w:p>
    <w:p>
      <w:pPr>
        <w:jc w:val="both"/>
        <w:ind w:left="0" w:right="0" w:firstLine="570" w:hanging="0"/>
        <w:spacing w:before="240" w:after="240"/>
      </w:pPr>
      <w:r>
        <w:rPr>
          <w:b w:val="1"/>
          <w:bCs w:val="1"/>
        </w:rPr>
        <w:t xml:space="preserve">8.3. Программное обеспечение и Интернет-ресурсы:</w:t>
      </w:r>
    </w:p>
    <w:p>
      <w:pPr/>
      <w:r>
        <w:rPr>
          <w:i w:val="1"/>
          <w:iCs w:val="1"/>
        </w:rPr>
        <w:t xml:space="preserve">а) программное обеспечение</w:t>
      </w:r>
    </w:p>
    <w:p>
      <w:pPr>
        <w:numPr>
          <w:ilvl w:val="0"/>
          <w:numId w:val="7"/>
        </w:numPr>
      </w:pPr>
      <w:r>
        <w:rPr/>
        <w:t xml:space="preserve">Пакет MicrosoftOffice 2007-2010 (Word, Excel, PowerPoint)</w:t>
      </w:r>
    </w:p>
    <w:p>
      <w:pPr>
        <w:numPr>
          <w:ilvl w:val="0"/>
          <w:numId w:val="7"/>
        </w:numPr>
      </w:pPr>
      <w:r>
        <w:rPr/>
        <w:t xml:space="preserve">Пакет для просмотра и печати документов AdobeAcrobatReader</w:t>
      </w:r>
    </w:p>
    <w:p>
      <w:pPr>
        <w:numPr>
          <w:ilvl w:val="0"/>
          <w:numId w:val="7"/>
        </w:numPr>
      </w:pPr>
      <w:r>
        <w:rPr/>
        <w:t xml:space="preserve">Средства поиска информации в глобальной сети Интернет и веб-пространстве: MSInternetExplorer, MozillaFirefox, Opera и др.</w:t>
      </w:r>
    </w:p>
    <w:p>
      <w:pPr/>
      <w:r>
        <w:rPr>
          <w:i w:val="1"/>
          <w:iCs w:val="1"/>
        </w:rPr>
        <w:t xml:space="preserve">б) интернет-ресурсы</w:t>
      </w:r>
    </w:p>
    <w:p>
      <w:pPr>
        <w:numPr>
          <w:ilvl w:val="0"/>
          <w:numId w:val="8"/>
        </w:numPr>
      </w:pPr>
      <w:hyperlink r:id="rId11" w:history="1">
        <w:r>
          <w:rPr/>
          <w:t xml:space="preserve">Центральная отраслевая библиотека по физической культуре и спорту</w:t>
        </w:r>
      </w:hyperlink>
      <w:r>
        <w:rPr/>
        <w:t xml:space="preserve">.Режим доступа: </w:t>
      </w:r>
      <w:hyperlink r:id="rId12" w:history="1">
        <w:r>
          <w:rPr/>
          <w:t xml:space="preserve">http://lib.sportedu.ru/</w:t>
        </w:r>
      </w:hyperlink>
    </w:p>
    <w:p>
      <w:pPr>
        <w:numPr>
          <w:ilvl w:val="0"/>
          <w:numId w:val="8"/>
        </w:numPr>
      </w:pPr>
      <w:r>
        <w:rPr/>
        <w:t xml:space="preserve">Сайт Государственного комитета Республики Карелия по физической культуре и спорту Режим доступа:  </w:t>
      </w:r>
      <w:hyperlink r:id="rId13" w:history="1">
        <w:r>
          <w:rPr/>
          <w:t xml:space="preserve">http://goskomsportrk.ru/</w:t>
        </w:r>
      </w:hyperlink>
    </w:p>
    <w:p>
      <w:pPr>
        <w:numPr>
          <w:ilvl w:val="0"/>
          <w:numId w:val="8"/>
        </w:numPr>
      </w:pPr>
      <w:r>
        <w:rPr/>
        <w:t xml:space="preserve">Спортивный портал Карелии Режим доступа: </w:t>
      </w:r>
      <w:hyperlink r:id="rId14" w:history="1">
        <w:r>
          <w:rPr/>
          <w:t xml:space="preserve">http://sportptz.ru/4743/</w:t>
        </w:r>
      </w:hyperlink>
    </w:p>
    <w:p>
      <w:pPr/>
      <w:r>
        <w:rPr/>
        <w:t xml:space="preserve"> </w:t>
      </w:r>
    </w:p>
    <w:p>
      <w:pPr>
        <w:numPr>
          <w:ilvl w:val="0"/>
          <w:numId w:val="9"/>
        </w:numPr>
      </w:pPr>
      <w:r>
        <w:rPr/>
        <w:t xml:space="preserve">Теоретический курс дисциплины «Физическая культура и спорт» Режим доступа: </w:t>
      </w:r>
      <w:hyperlink r:id="rId15" w:history="1">
        <w:r>
          <w:rPr/>
          <w:t xml:space="preserve">https://moodle2.petrsu.ru/course/index.php?categoryid=49</w:t>
        </w:r>
      </w:hyperlink>
    </w:p>
    <w:p>
      <w:pPr/>
      <w:r>
        <w:rPr/>
        <w:t xml:space="preserve"> </w:t>
      </w:r>
    </w:p>
    <w:p>
      <w:pPr>
        <w:numPr>
          <w:ilvl w:val="0"/>
          <w:numId w:val="10"/>
        </w:numPr>
      </w:pPr>
      <w:r>
        <w:rPr/>
        <w:t xml:space="preserve">Электронный  каталог Научной библиотеки ПетрГУ </w:t>
      </w:r>
      <w:hyperlink r:id="rId16" w:history="1">
        <w:r>
          <w:rPr/>
          <w:t xml:space="preserve">http://foliant.ru/catalog/psulibr</w:t>
        </w:r>
      </w:hyperlink>
    </w:p>
    <w:p>
      <w:pPr/>
      <w:r>
        <w:rPr/>
        <w:t xml:space="preserve"> </w:t>
      </w:r>
    </w:p>
    <w:p>
      <w:pPr>
        <w:numPr>
          <w:ilvl w:val="0"/>
          <w:numId w:val="11"/>
        </w:numPr>
      </w:pPr>
      <w:r>
        <w:rPr/>
        <w:t xml:space="preserve">Электронный каталог библиотеки Республики Карелия  http://elibrary.karelia.ru/</w:t>
      </w:r>
    </w:p>
    <w:p>
      <w:pPr/>
      <w:r>
        <w:rPr/>
        <w:t xml:space="preserve"> </w:t>
      </w:r>
    </w:p>
    <w:p>
      <w:pPr>
        <w:numPr>
          <w:ilvl w:val="0"/>
          <w:numId w:val="12"/>
        </w:numPr>
      </w:pPr>
      <w:r>
        <w:rPr/>
        <w:t xml:space="preserve">Электронная библиотечная система «Университетская библиотека онлайн» </w:t>
      </w:r>
      <w:hyperlink r:id="rId17" w:history="1">
        <w:r>
          <w:rPr/>
          <w:t xml:space="preserve">http://biblioclub.ru</w:t>
        </w:r>
      </w:hyperlink>
    </w:p>
    <w:p>
      <w:pPr/>
      <w:r>
        <w:rPr/>
        <w:t xml:space="preserve"> </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numPr>
          <w:ilvl w:val="0"/>
          <w:numId w:val="13"/>
        </w:numPr>
      </w:pPr>
      <w:r>
        <w:rPr/>
        <w:t xml:space="preserve">официальный сайт университета (</w:t>
      </w:r>
      <w:hyperlink r:id="rId18" w:history="1">
        <w:r>
          <w:rPr/>
          <w:t xml:space="preserve">https://petrsu.ru</w:t>
        </w:r>
      </w:hyperlink>
      <w:r>
        <w:rPr/>
        <w:t xml:space="preserve"> );</w:t>
      </w:r>
    </w:p>
    <w:p>
      <w:pPr>
        <w:numPr>
          <w:ilvl w:val="0"/>
          <w:numId w:val="13"/>
        </w:numPr>
      </w:pPr>
      <w:r>
        <w:rPr/>
        <w:t xml:space="preserve">­ Информационно-Аналитическая Интегрированная Система управления вузом (ИАИС) (</w:t>
      </w:r>
      <w:hyperlink r:id="rId19" w:history="1">
        <w:r>
          <w:rPr/>
          <w:t xml:space="preserve">https://iias.petrsu.ru</w:t>
        </w:r>
      </w:hyperlink>
      <w:r>
        <w:rPr/>
        <w:t xml:space="preserve"> );</w:t>
      </w:r>
    </w:p>
    <w:p>
      <w:pPr>
        <w:numPr>
          <w:ilvl w:val="0"/>
          <w:numId w:val="13"/>
        </w:numPr>
      </w:pPr>
      <w:r>
        <w:rPr/>
        <w:t xml:space="preserve">­ образовательный портал ПетрГУ ()</w:t>
      </w:r>
      <w:hyperlink r:id="rId20" w:history="1">
        <w:r>
          <w:rPr/>
          <w:t xml:space="preserve">https://edu.petrsu.ru</w:t>
        </w:r>
      </w:hyperlink>
      <w:r>
        <w:rPr/>
        <w:t xml:space="preserve"> ;</w:t>
      </w:r>
    </w:p>
    <w:p>
      <w:pPr>
        <w:numPr>
          <w:ilvl w:val="0"/>
          <w:numId w:val="13"/>
        </w:numPr>
      </w:pPr>
      <w:r>
        <w:rPr/>
        <w:t xml:space="preserve">­ система электронной поддержки учебных курсов на базе программного обеспечения Moodle (</w:t>
      </w:r>
      <w:hyperlink r:id="rId21" w:history="1">
        <w:r>
          <w:rPr/>
          <w:t xml:space="preserve">https://moodle2.petrsu.ru</w:t>
        </w:r>
      </w:hyperlink>
      <w:r>
        <w:rPr/>
        <w:t xml:space="preserve"> ), WebCT (</w:t>
      </w:r>
      <w:hyperlink r:id="rId22" w:history="1">
        <w:r>
          <w:rPr/>
          <w:t xml:space="preserve">https://webct.ru</w:t>
        </w:r>
      </w:hyperlink>
      <w:r>
        <w:rPr/>
        <w:t xml:space="preserve"> ), Blackboard (</w:t>
      </w:r>
      <w:hyperlink r:id="rId23" w:history="1">
        <w:r>
          <w:rPr/>
          <w:t xml:space="preserve">https://blackboard.petrsu.ru</w:t>
        </w:r>
      </w:hyperlink>
      <w:r>
        <w:rPr/>
        <w:t xml:space="preserve"> ), WebTutor (</w:t>
      </w:r>
      <w:hyperlink r:id="rId24" w:history="1">
        <w:r>
          <w:rPr/>
          <w:t xml:space="preserve">https://WebTutor.petrsu.ru</w:t>
        </w:r>
      </w:hyperlink>
      <w:r>
        <w:rPr/>
        <w:t xml:space="preserve"> ) со встроенными подсистемами тестирования;</w:t>
      </w:r>
    </w:p>
    <w:p>
      <w:pPr>
        <w:numPr>
          <w:ilvl w:val="0"/>
          <w:numId w:val="13"/>
        </w:numPr>
      </w:pPr>
      <w:r>
        <w:rPr/>
        <w:t xml:space="preserve">­ электронные портфолио обучающихся ПетрГУ (</w:t>
      </w:r>
      <w:hyperlink r:id="rId25" w:history="1">
        <w:r>
          <w:rPr/>
          <w:t xml:space="preserve">https://portfolio.petrsu.ru</w:t>
        </w:r>
      </w:hyperlink>
      <w:r>
        <w:rPr/>
        <w:t xml:space="preserve"> );</w:t>
      </w:r>
    </w:p>
    <w:p>
      <w:pPr>
        <w:numPr>
          <w:ilvl w:val="0"/>
          <w:numId w:val="13"/>
        </w:numPr>
      </w:pPr>
      <w:r>
        <w:rPr/>
        <w:t xml:space="preserve">­ научная библиотека ПетрГУ (</w:t>
      </w:r>
      <w:hyperlink r:id="rId26" w:history="1">
        <w:r>
          <w:rPr/>
          <w:t xml:space="preserve">https://library.petrsu.ru</w:t>
        </w:r>
      </w:hyperlink>
      <w:r>
        <w:rPr/>
        <w:t xml:space="preserve"> ) и электронный каталог «Фолиант» (</w:t>
      </w:r>
      <w:hyperlink r:id="rId27" w:history="1">
        <w:r>
          <w:rPr/>
          <w:t xml:space="preserve">https://foliant.ru/catalog/psulibr</w:t>
        </w:r>
      </w:hyperlink>
      <w:r>
        <w:rPr/>
        <w:t xml:space="preserve"> ) ;</w:t>
      </w:r>
    </w:p>
    <w:p>
      <w:pPr>
        <w:numPr>
          <w:ilvl w:val="0"/>
          <w:numId w:val="13"/>
        </w:numPr>
      </w:pPr>
      <w:r>
        <w:rPr/>
        <w:t xml:space="preserve">­ электронная библиотека Республики Карелия (</w:t>
      </w:r>
      <w:hyperlink r:id="rId28" w:history="1">
        <w:r>
          <w:rPr/>
          <w:t xml:space="preserve">https://elibrary.karelia.ru</w:t>
        </w:r>
      </w:hyperlink>
      <w:r>
        <w:rPr/>
        <w:t xml:space="preserve"> );</w:t>
      </w:r>
    </w:p>
    <w:p>
      <w:pPr>
        <w:numPr>
          <w:ilvl w:val="0"/>
          <w:numId w:val="13"/>
        </w:numPr>
      </w:pPr>
      <w:r>
        <w:rPr/>
        <w:t xml:space="preserve">­ электронные научные журналы ПетрГУ (</w:t>
      </w:r>
      <w:hyperlink r:id="rId29" w:history="1">
        <w:r>
          <w:rPr/>
          <w:t xml:space="preserve">https://petrsu.ru/page/science/journals</w:t>
        </w:r>
      </w:hyperlink>
      <w:r>
        <w:rPr/>
        <w:t xml:space="preserve"> );</w:t>
      </w:r>
    </w:p>
    <w:p>
      <w:pPr>
        <w:numPr>
          <w:ilvl w:val="0"/>
          <w:numId w:val="13"/>
        </w:numPr>
      </w:pPr>
      <w:r>
        <w:rPr/>
        <w:t xml:space="preserve">­ корпоративная сеть ПетрГУ, включая беспроводной сегмент, и корпоративная почта;</w:t>
      </w:r>
    </w:p>
    <w:p>
      <w:pPr>
        <w:numPr>
          <w:ilvl w:val="0"/>
          <w:numId w:val="13"/>
        </w:numPr>
      </w:pPr>
      <w:r>
        <w:rPr/>
        <w:t xml:space="preserve">­ системы видеоконференцсвязи (TrueConf, Zoom (</w:t>
      </w:r>
      <w:hyperlink r:id="rId30" w:history="1">
        <w:r>
          <w:rPr/>
          <w:t xml:space="preserve">https://zoom.us/</w:t>
        </w:r>
      </w:hyperlink>
      <w:r>
        <w:rPr/>
        <w:t xml:space="preserve"> ) и др.), сервер видеотрансляций Wowza;</w:t>
      </w:r>
    </w:p>
    <w:p>
      <w:pPr>
        <w:numPr>
          <w:ilvl w:val="0"/>
          <w:numId w:val="13"/>
        </w:numPr>
      </w:pPr>
      <w:r>
        <w:rPr/>
        <w:t xml:space="preserve">­ официальные сообщества университета в социальных сетях («Вконтакте» (</w:t>
      </w:r>
      <w:hyperlink r:id="rId31" w:history="1">
        <w:r>
          <w:rPr/>
          <w:t xml:space="preserve">https://vk.com/petrsu_ru</w:t>
        </w:r>
      </w:hyperlink>
      <w:r>
        <w:rPr/>
        <w:t xml:space="preserve"> ), «Facebook» (</w:t>
      </w:r>
      <w:hyperlink r:id="rId32" w:history="1">
        <w:r>
          <w:rPr/>
          <w:t xml:space="preserve">https://www.facebook.com/petrsunews</w:t>
        </w:r>
      </w:hyperlink>
      <w:r>
        <w:rPr/>
        <w:t xml:space="preserve"> ),«Twitter» (</w:t>
      </w:r>
      <w:hyperlink r:id="rId33" w:history="1">
        <w:r>
          <w:rPr/>
          <w:t xml:space="preserve">https://twitter.com/PetrSU_news</w:t>
        </w:r>
      </w:hyperlink>
      <w:r>
        <w:rPr/>
        <w:t xml:space="preserve"> ), «Youtube» (</w:t>
      </w:r>
      <w:hyperlink r:id="rId34" w:history="1">
        <w:r>
          <w:rPr/>
          <w:t xml:space="preserve">https://www.youtube.com/channel/UCF6X8SpjmB8v2X6KGZBJNwA</w:t>
        </w:r>
      </w:hyperlink>
      <w:r>
        <w:rPr/>
        <w:t xml:space="preserve"> ) и др.;</w:t>
      </w:r>
    </w:p>
    <w:p>
      <w:pPr>
        <w:numPr>
          <w:ilvl w:val="0"/>
          <w:numId w:val="13"/>
        </w:numPr>
      </w:pPr>
      <w:r>
        <w:rPr/>
        <w:t xml:space="preserve">­ внешние электронные библиотечные системы («Университетская библиотека онлайн» (</w:t>
      </w:r>
      <w:hyperlink r:id="rId35" w:history="1">
        <w:r>
          <w:rPr/>
          <w:t xml:space="preserve">https://www.biblioclub.ru</w:t>
        </w:r>
      </w:hyperlink>
      <w:r>
        <w:rPr/>
        <w:t xml:space="preserve"> ), Издательств «Лань» (</w:t>
      </w:r>
      <w:hyperlink r:id="rId36" w:history="1">
        <w:r>
          <w:rPr/>
          <w:t xml:space="preserve">https://e.lanbook.com</w:t>
        </w:r>
      </w:hyperlink>
      <w:r>
        <w:rPr/>
        <w:t xml:space="preserve"> ), «Консультант студента. Студенческая электронная библиотека» </w:t>
      </w:r>
      <w:hyperlink r:id="rId37" w:history="1">
        <w:r>
          <w:rPr/>
          <w:t xml:space="preserve">https://www.studentlibrary.ru</w:t>
        </w:r>
      </w:hyperlink>
      <w:r>
        <w:rPr/>
        <w:t xml:space="preserve"> ),  «Консультант врача: электронная медицинская библиотека» (</w:t>
      </w:r>
      <w:hyperlink r:id="rId38" w:history="1">
        <w:r>
          <w:rPr/>
          <w:t xml:space="preserve">https://www.rosmedlib.ru</w:t>
        </w:r>
      </w:hyperlink>
      <w:r>
        <w:rPr/>
        <w:t xml:space="preserve"> ));</w:t>
      </w:r>
    </w:p>
    <w:p>
      <w:pPr>
        <w:numPr>
          <w:ilvl w:val="0"/>
          <w:numId w:val="13"/>
        </w:numPr>
      </w:pPr>
      <w:r>
        <w:rPr/>
        <w:t xml:space="preserve">- внешние образовательные платформы ("Юрайт" (</w:t>
      </w:r>
      <w:hyperlink r:id="rId39" w:history="1">
        <w:r>
          <w:rPr/>
          <w:t xml:space="preserve">https://urait.ru/</w:t>
        </w:r>
      </w:hyperlink>
      <w:r>
        <w:rPr/>
        <w:t xml:space="preserve"> ), E-nano (</w:t>
      </w:r>
      <w:hyperlink r:id="rId40" w:history="1">
        <w:r>
          <w:rPr/>
          <w:t xml:space="preserve">https://edunano.ru/</w:t>
        </w:r>
      </w:hyperlink>
      <w:r>
        <w:rPr/>
        <w:t xml:space="preserve"> ) и др.)</w:t>
      </w:r>
    </w:p>
    <w:p>
      <w:pPr>
        <w:numPr>
          <w:ilvl w:val="0"/>
          <w:numId w:val="13"/>
        </w:numPr>
      </w:pPr>
      <w:r>
        <w:rPr/>
        <w:t xml:space="preserve">­ система «Антиплагиат.ВУЗ» (</w:t>
      </w:r>
      <w:hyperlink r:id="rId41" w:history="1">
        <w:r>
          <w:rPr/>
          <w:t xml:space="preserve">https://petrsu.antiplagiat.ru</w:t>
        </w:r>
      </w:hyperlink>
      <w:r>
        <w:rPr/>
        <w:t xml:space="preserve"> );</w:t>
      </w:r>
    </w:p>
    <w:p>
      <w:pPr>
        <w:numPr>
          <w:ilvl w:val="0"/>
          <w:numId w:val="13"/>
        </w:numPr>
      </w:pPr>
      <w:r>
        <w:rPr/>
        <w:t xml:space="preserve">­ иные компоненты, необходимые для организации учебного процесса и взаимодействия компонентов ЭИОС.</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14"/>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14"/>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2023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12AB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6A07C2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553C2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E5F03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AC007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66BDC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C4B0E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596BC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B4174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B8B56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DE049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E9008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72955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D4030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iblioclub.ru/index.php?page=book&amp;id=497151" TargetMode="External"/><Relationship Id="rId8" Type="http://schemas.openxmlformats.org/officeDocument/2006/relationships/hyperlink" Target="http://biblioclub.ru/index.php?page=book&amp;id=441285" TargetMode="External"/><Relationship Id="rId9" Type="http://schemas.openxmlformats.org/officeDocument/2006/relationships/hyperlink" Target="http://biblioclub.ru/index.php?page=book&amp;id=493420" TargetMode="External"/><Relationship Id="rId10" Type="http://schemas.openxmlformats.org/officeDocument/2006/relationships/hyperlink" Target="http://biblioclub.ru/index.php?page=book&amp;id=256099" TargetMode="External"/><Relationship Id="rId11" Type="http://schemas.openxmlformats.org/officeDocument/2006/relationships/hyperlink" Target="http://www.edu.ru/modules.php?op=modload&amp;name=Web_Links&amp;file=index&amp;l_op=visit&amp;lid=729" TargetMode="External"/><Relationship Id="rId12" Type="http://schemas.openxmlformats.org/officeDocument/2006/relationships/hyperlink" Target="http://lib.sportedu.ru/" TargetMode="External"/><Relationship Id="rId13" Type="http://schemas.openxmlformats.org/officeDocument/2006/relationships/hyperlink" Target="http://goskomsportrk.ru/" TargetMode="External"/><Relationship Id="rId14" Type="http://schemas.openxmlformats.org/officeDocument/2006/relationships/hyperlink" Target="http://sportptz.ru/4743/" TargetMode="External"/><Relationship Id="rId15" Type="http://schemas.openxmlformats.org/officeDocument/2006/relationships/hyperlink" Target="https://moodle2.petrsu.ru/course/index.php?categoryid=49" TargetMode="External"/><Relationship Id="rId16" Type="http://schemas.openxmlformats.org/officeDocument/2006/relationships/hyperlink" Target="http://foliant.ru/catalog/psulibr" TargetMode="External"/><Relationship Id="rId17" Type="http://schemas.openxmlformats.org/officeDocument/2006/relationships/hyperlink" Target="http://biblioclub.ru" TargetMode="External"/><Relationship Id="rId18" Type="http://schemas.openxmlformats.org/officeDocument/2006/relationships/hyperlink" Target="#" TargetMode="External"/><Relationship Id="rId19" Type="http://schemas.openxmlformats.org/officeDocument/2006/relationships/hyperlink" Target="https://iias.petrsu.ru" TargetMode="External"/><Relationship Id="rId20" Type="http://schemas.openxmlformats.org/officeDocument/2006/relationships/hyperlink" Target="https://edu.petrsu.ru" TargetMode="External"/><Relationship Id="rId21" Type="http://schemas.openxmlformats.org/officeDocument/2006/relationships/hyperlink" Target="https://moodle2.petrsu.ru" TargetMode="External"/><Relationship Id="rId22" Type="http://schemas.openxmlformats.org/officeDocument/2006/relationships/hyperlink" Target="https://webct.ru" TargetMode="External"/><Relationship Id="rId23" Type="http://schemas.openxmlformats.org/officeDocument/2006/relationships/hyperlink" Target="https://blackboard.petrsu.ru" TargetMode="External"/><Relationship Id="rId24" Type="http://schemas.openxmlformats.org/officeDocument/2006/relationships/hyperlink" Target="https://WebTutor.petrsu.ru" TargetMode="External"/><Relationship Id="rId25" Type="http://schemas.openxmlformats.org/officeDocument/2006/relationships/hyperlink" Target="https://portfolio.petrsu.ru" TargetMode="External"/><Relationship Id="rId26" Type="http://schemas.openxmlformats.org/officeDocument/2006/relationships/hyperlink" Target="https://library.petrsu.ru" TargetMode="External"/><Relationship Id="rId27" Type="http://schemas.openxmlformats.org/officeDocument/2006/relationships/hyperlink" Target="https://foliant.ru/catalog/psulibr" TargetMode="External"/><Relationship Id="rId28" Type="http://schemas.openxmlformats.org/officeDocument/2006/relationships/hyperlink" Target="https://elibrary.karelia.ru" TargetMode="External"/><Relationship Id="rId29" Type="http://schemas.openxmlformats.org/officeDocument/2006/relationships/hyperlink" Target="/page/science/journals" TargetMode="External"/><Relationship Id="rId30" Type="http://schemas.openxmlformats.org/officeDocument/2006/relationships/hyperlink" Target="https://zoom.us/" TargetMode="External"/><Relationship Id="rId31" Type="http://schemas.openxmlformats.org/officeDocument/2006/relationships/hyperlink" Target="https://vk.com/petrsu_ru" TargetMode="External"/><Relationship Id="rId32" Type="http://schemas.openxmlformats.org/officeDocument/2006/relationships/hyperlink" Target="https://www.facebook.com/petrsunews" TargetMode="External"/><Relationship Id="rId33" Type="http://schemas.openxmlformats.org/officeDocument/2006/relationships/hyperlink" Target="https://twitter.com/PetrSU_news" TargetMode="External"/><Relationship Id="rId34" Type="http://schemas.openxmlformats.org/officeDocument/2006/relationships/hyperlink" Target="https://www.youtube.com/channel/UCF6X8SpjmB8v2X6KGZBJNwA" TargetMode="External"/><Relationship Id="rId35" Type="http://schemas.openxmlformats.org/officeDocument/2006/relationships/hyperlink" Target="https://www.biblioclub.ru" TargetMode="External"/><Relationship Id="rId36" Type="http://schemas.openxmlformats.org/officeDocument/2006/relationships/hyperlink" Target="https://e.lanbook.com" TargetMode="External"/><Relationship Id="rId37" Type="http://schemas.openxmlformats.org/officeDocument/2006/relationships/hyperlink" Target="https://www.studentlibrary.ru" TargetMode="External"/><Relationship Id="rId38" Type="http://schemas.openxmlformats.org/officeDocument/2006/relationships/hyperlink" Target="https://www.rosmedlib.ru" TargetMode="External"/><Relationship Id="rId39" Type="http://schemas.openxmlformats.org/officeDocument/2006/relationships/hyperlink" Target="https://urait.ru/" TargetMode="External"/><Relationship Id="rId40" Type="http://schemas.openxmlformats.org/officeDocument/2006/relationships/hyperlink" Target="https://edunano.ru/" TargetMode="External"/><Relationship Id="rId41" Type="http://schemas.openxmlformats.org/officeDocument/2006/relationships/hyperlink" Target="https://petrsu.antiplagia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2026-04-21T09:55:27+03:00</dcterms:created>
  <dcterms:modified xsi:type="dcterms:W3CDTF">2026-04-21T09:55:27+03:00</dcterms:modified>
</cp:coreProperties>
</file>

<file path=docProps/custom.xml><?xml version="1.0" encoding="utf-8"?>
<Properties xmlns="http://schemas.openxmlformats.org/officeDocument/2006/custom-properties" xmlns:vt="http://schemas.openxmlformats.org/officeDocument/2006/docPropsVTypes"/>
</file>