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(Русский язык и Литература)»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(Русский язык и Литература)»).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Пашкова Анна Александровна, доцент, кафедра безопасности жизнедеятельности и здоровьесберегающих технологий,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специальность. Действия при стихийных бедствиях и техногенных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 Вопросы к зачету:</w:t>
      </w:r>
    </w:p>
    <w:p>
      <w:pPr>
        <w:numPr>
          <w:ilvl w:val="0"/>
          <w:numId w:val="3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3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3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3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3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3"/>
        </w:numPr>
      </w:pPr>
      <w:r>
        <w:rPr/>
        <w:t xml:space="preserve">Классификация ЧС.</w:t>
      </w:r>
    </w:p>
    <w:p>
      <w:pPr>
        <w:numPr>
          <w:ilvl w:val="0"/>
          <w:numId w:val="3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4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5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5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5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5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5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5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5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5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5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5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5"/>
        </w:numPr>
      </w:pPr>
      <w:r>
        <w:rPr/>
        <w:t xml:space="preserve">Воинские звания.</w:t>
      </w:r>
    </w:p>
    <w:p>
      <w:pPr>
        <w:numPr>
          <w:ilvl w:val="0"/>
          <w:numId w:val="5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5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5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5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Учебно-методическое и информационное обеспечение дисциплины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8.1. О</w:t>
      </w:r>
      <w:r>
        <w:rPr>
          <w:b w:val="1"/>
          <w:bCs w:val="1"/>
        </w:rPr>
        <w:t xml:space="preserve">сновная литература:</w:t>
      </w:r>
    </w:p>
    <w:p>
      <w:pPr>
        <w:numPr>
          <w:ilvl w:val="0"/>
          <w:numId w:val="6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6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6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6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6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6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6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6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6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6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8.2. </w:t>
      </w:r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7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7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7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</w:t>
      </w:r>
    </w:p>
    <w:p>
      <w:pPr>
        <w:pStyle w:val="Heading1"/>
      </w:pPr>
      <w:r>
        <w:rPr/>
        <w:t xml:space="preserve">4.      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8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8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  <w:r>
        <w:rPr/>
        <w:t xml:space="preserve"> </w:t>
      </w:r>
    </w:p>
    <w:p>
      <w:pPr/>
      <w:r>
        <w:rPr/>
        <w:t xml:space="preserve">                   </w:t>
      </w:r>
      <w:r>
        <w:rPr>
          <w:b w:val="1"/>
          <w:bCs w:val="1"/>
        </w:rPr>
        <w:t xml:space="preserve">8.3. </w:t>
      </w:r>
      <w:r>
        <w:rPr>
          <w:b w:val="1"/>
          <w:bCs w:val="1"/>
        </w:rPr>
        <w:t xml:space="preserve">Программное обеспечение и Интернет-ресурсы:</w:t>
      </w:r>
    </w:p>
    <w:p>
      <w:pPr/>
      <w:r>
        <w:rPr/>
        <w:t xml:space="preserve"> 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9"/>
        </w:numPr>
      </w:pPr>
      <w:r>
        <w:rPr/>
        <w:t xml:space="preserve">ОС Windows 7, Windows 10, WindowsXP.</w:t>
      </w:r>
    </w:p>
    <w:p>
      <w:pPr>
        <w:numPr>
          <w:ilvl w:val="0"/>
          <w:numId w:val="9"/>
        </w:numPr>
      </w:pPr>
      <w:r>
        <w:rPr/>
        <w:t xml:space="preserve">Офисный пакет: Office 2007.</w:t>
      </w:r>
    </w:p>
    <w:p>
      <w:pPr>
        <w:numPr>
          <w:ilvl w:val="0"/>
          <w:numId w:val="9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             </w:t>
      </w:r>
      <w:r>
        <w:rPr/>
        <w:t xml:space="preserve">Интернет-ресурсы:</w:t>
      </w:r>
    </w:p>
    <w:p>
      <w:pPr>
        <w:numPr>
          <w:ilvl w:val="0"/>
          <w:numId w:val="10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10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Крупнейшая российская электронная библиотека - http://elibrary.ru.</w:t>
      </w:r>
    </w:p>
    <w:p>
      <w:pPr/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EF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EB5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A20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BEC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AEB301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064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F03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BFF4E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CE4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E7C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BE2D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2026-04-23T13:58:07+03:00</dcterms:created>
  <dcterms:modified xsi:type="dcterms:W3CDTF">2026-04-23T13:58:07+03:00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