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1.1.  Анализирует задачу, выделяя ее базовые составляющие.  Осуществляет декомпозицию задачи.</w:t>
            </w:r>
          </w:p>
          <w:p/>
          <w:p>
            <w:pPr/>
            <w:r>
              <w:rPr/>
              <w:t xml:space="preserve">1.2. Находит и критически анализирует информацию, необходимую для решения поставленной задачи.  </w:t>
            </w:r>
          </w:p>
          <w:p/>
          <w:p>
            <w:pPr/>
            <w:r>
              <w:rPr/>
              <w:t xml:space="preserve">1.3. Рассматривает различные варианты решения задачи, оценивая их достоинства и недостатки.</w:t>
            </w:r>
          </w:p>
          <w:p/>
          <w:p>
            <w:pPr/>
            <w:r>
              <w:rPr/>
              <w:t xml:space="preserve">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Начальный,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ОПК-12
Основной</w:t>
            </w:r>
          </w:p>
        </w:tc>
        <w:tc>
          <w:tcPr>
            <w:tcW w:w="4000" w:type="dxa"/>
            <w:noWrap/>
          </w:tcPr>
          <w:p>
            <w:pPr>
              <w:jc w:val="numTab"/>
              <w:ind w:left="0" w:right="0" w:firstLine="0" w:hanging="0"/>
            </w:pPr>
            <w:r>
              <w:rPr/>
              <w:t xml:space="preserve">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w:t>
            </w:r>
          </w:p>
        </w:tc>
        <w:tc>
          <w:tcPr>
            <w:tcW w:w="3100" w:type="dxa"/>
            <w:noWrap/>
          </w:tcPr>
          <w:p>
            <w:pPr/>
            <w:r>
              <w:rPr/>
              <w:t xml:space="preserve">ОПК-12.1. Знает актуальные проблемы и тенденции развития научного знания о физкультурно-спортивной деятельности, путях совершенствования ее средств и методов (технологий), контрольно-измерительных и контрольно-оценочных средств;</w:t>
            </w:r>
          </w:p>
          <w:p/>
          <w:p>
            <w:pPr/>
            <w:r>
              <w:rPr/>
              <w:t xml:space="preserve">ОПК-12.2. Знает направления научных исследований в области физической культуры и спорта, вида спорта;</w:t>
            </w:r>
          </w:p>
          <w:p/>
          <w:p>
            <w:pPr/>
            <w:r>
              <w:rPr/>
              <w:t xml:space="preserve">ОПК-12.3. Умеет самостоятельно вести поиск актуальной профессиональной информации по вопросам осуществления тренировочного и образовательного процессов;</w:t>
            </w:r>
          </w:p>
          <w:p/>
          <w:p>
            <w:pPr/>
            <w:r>
              <w:rPr/>
              <w:t xml:space="preserve">ОПК-12.4. Имеет опыт использования исследовательских материалов при осуществлении педагогической диагностики, планирования, педагогического контроля и методического обеспечения тренировочного и образовательного процессов;</w:t>
            </w:r>
          </w:p>
          <w:p/>
          <w:p>
            <w:pPr/>
            <w:r>
              <w:rPr/>
              <w:t xml:space="preserve">ОПК-12.5. Имеет опыт выполнения научно-исследовательских работ в сфере физической культуры, адаптивной физической культуре и спорта.</w:t>
            </w:r>
          </w:p>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Адаптивный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Планирование проекта</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проектами</w:t>
            </w:r>
          </w:p>
        </w:tc>
        <w:tc>
          <w:tcPr>
            <w:noWrap/>
          </w:tcPr>
          <w:p>
            <w:pPr>
              <w:jc w:val="left"/>
              <w:ind w:left="0" w:right="0" w:firstLine="0" w:hanging="0"/>
            </w:pPr>
            <w:r>
              <w:rPr/>
              <w:t xml:space="preserve">59</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33</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c>
          <w:tcPr>
            <w:noWrap/>
          </w:tcPr>
          <w:p>
            <w:pPr>
              <w:jc w:val="left"/>
              <w:ind w:left="0" w:right="0" w:firstLine="0" w:hanging="0"/>
            </w:pPr>
            <w:r>
              <w:rPr/>
              <w:t xml:space="preserve">78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Проектный подход. Введение в управление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Содержание проектной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Проект как объект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Субъекты управления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Процессы и функции управления проектами  Инициация и старт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Формирование целей проекта. Планирование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расписанием проекта. Организационное планирование и логистика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Организационная структура проекта. Управление персоналом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Управление коммуникациями проекта.  Управление рисками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Идентификация и обработка рисков проекта. Контроль проекта.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Исполнение и завершение проекта. Корпоративная система управления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Проектный подход. Введение в управление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Содержание проектной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Проект как объект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Субъекты управления проектами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Процессы и функции управления проектами  Инициация и старт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Формирование целей проекта. Планирование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расписанием проекта. Организационное планирование и логистика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Организационная структура проекта. Управление персоналом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Управление коммуникациями проекта.  Управление рисками проекта.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Идентификация и обработка рисков проекта. Контроль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Исполнение и завершение проекта. Корпоративная система управления проектами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Проектный подход. Введение в управление проектами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Содержание проектной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Проект как объект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Субъекты управления проектами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Процессы и функции управления проектами  Инициация и старт проекта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Формирование целей проекта. Планирование проекта.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Управление расписанием проекта. Организационное планирование и логистика проекта.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Организационная структура проекта. Управление персоналом проекта.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Управление коммуникациями проекта.  Управление рисками проекта.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Идентификация и обработка рисков проекта. Контроль проекта.</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Используется Проектная технология. Цель технологии - стимулировать интерес учащихся к определенным проблемам, предполагающим владение определенной суммой знаний и через проектную деятельность, предусматривающим решение этих проблем, умение практически применять полученные знания. Создание реального карьерного плана реализуется в проектной технологии. К окончанию курса студенты должны иметь четкое представление о своем профессиональном пути.</w:t>
      </w:r>
    </w:p>
    <w:p>
      <w:pPr/>
      <w:r>
        <w:rPr/>
        <w:t xml:space="preserve">Технология проблемного обучения предполагает создание проблемных ситуаций и активную самостоятельную деятельность студентов по их разрешению, в результате чего и происходит творческое овладение профессиональными знаниями, навыками, умениями и развитие мыслительных способностей.</w:t>
      </w:r>
    </w:p>
    <w:p>
      <w:pPr/>
      <w:r>
        <w:rPr/>
        <w:t xml:space="preserve">Игровые технологии, целью которых является деятельность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pPr/>
      <w:r>
        <w:rPr/>
        <w:t xml:space="preserve">Технология творческих мастерских, которая предполагает встречи с представителями различных компаний, государственных и общественных организаций, мастер-классы экспертов, специалистов, работодателей.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numPr>
          <w:ilvl w:val="0"/>
          <w:numId w:val="1"/>
        </w:numPr>
      </w:pPr>
      <w:r>
        <w:rPr/>
        <w:t xml:space="preserve">Разработка и контроль календарного плана проекта.</w:t>
      </w:r>
    </w:p>
    <w:p>
      <w:pPr>
        <w:numPr>
          <w:ilvl w:val="0"/>
          <w:numId w:val="1"/>
        </w:numPr>
      </w:pPr>
      <w:r>
        <w:rPr/>
        <w:t xml:space="preserve">Моделирование проекта в Microsoft Project Professional.</w:t>
      </w:r>
    </w:p>
    <w:p>
      <w:pPr>
        <w:numPr>
          <w:ilvl w:val="0"/>
          <w:numId w:val="1"/>
        </w:numPr>
      </w:pPr>
      <w:r>
        <w:rPr/>
        <w:t xml:space="preserve">Оптимизация календарного плана проекта.</w:t>
      </w:r>
    </w:p>
    <w:p>
      <w:pPr>
        <w:numPr>
          <w:ilvl w:val="0"/>
          <w:numId w:val="1"/>
        </w:numPr>
      </w:pPr>
      <w:r>
        <w:rPr/>
        <w:t xml:space="preserve">Аналитические возможности Microsoft Project Professional</w:t>
      </w:r>
    </w:p>
    <w:p>
      <w:pPr>
        <w:numPr>
          <w:ilvl w:val="0"/>
          <w:numId w:val="1"/>
        </w:numPr>
      </w:pPr>
      <w:r>
        <w:rPr/>
        <w:t xml:space="preserve">Актуализация, контроль и завершение проекта</w:t>
      </w:r>
    </w:p>
    <w:p>
      <w:pPr>
        <w:numPr>
          <w:ilvl w:val="0"/>
          <w:numId w:val="1"/>
        </w:numPr>
      </w:pPr>
      <w:r>
        <w:rPr/>
        <w:t xml:space="preserve">Многопроектное планирование</w:t>
      </w:r>
    </w:p>
    <w:p>
      <w:pPr>
        <w:numPr>
          <w:ilvl w:val="0"/>
          <w:numId w:val="1"/>
        </w:numPr>
      </w:pPr>
      <w:r>
        <w:rPr/>
        <w:t xml:space="preserve">Управление рисками проекта</w:t>
      </w:r>
    </w:p>
    <w:p>
      <w:pPr>
        <w:numPr>
          <w:ilvl w:val="0"/>
          <w:numId w:val="1"/>
        </w:numPr>
      </w:pPr>
      <w:r>
        <w:rPr/>
        <w:t xml:space="preserve">Коллективная работа над проектом.</w:t>
      </w:r>
    </w:p>
    <w:p>
      <w:pPr>
        <w:numPr>
          <w:ilvl w:val="0"/>
          <w:numId w:val="1"/>
        </w:numPr>
      </w:pPr>
      <w:r>
        <w:rPr/>
        <w:t xml:space="preserve">Управление портфелем проектов и пулом ресурсов.</w:t>
      </w:r>
    </w:p>
    <w:p/>
    <w:p>
      <w:pPr/>
      <w:r>
        <w:rPr/>
        <w:t xml:space="preserve">5.2. Промежуточная аттестация проводится в виде:</w:t>
      </w:r>
    </w:p>
    <w:p/>
    <w:p>
      <w:pPr/>
      <w:r>
        <w:rPr/>
        <w:t xml:space="preserve">Зачет</w:t>
      </w:r>
    </w:p>
    <w:p>
      <w:pPr/>
      <w:r>
        <w:rPr/>
        <w:t xml:space="preserve">Зачет проводятся в формате представления стартапов, тематика формируется индивидуально</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2"/>
        </w:numPr>
      </w:pPr>
      <w:r>
        <w:rPr/>
        <w:t xml:space="preserve">Придерживаться рекомендаций преподавателя по объему времени, необходимого для проработки каждой темы;</w:t>
      </w:r>
    </w:p>
    <w:p>
      <w:pPr>
        <w:numPr>
          <w:ilvl w:val="0"/>
          <w:numId w:val="2"/>
        </w:numPr>
      </w:pPr>
      <w:r>
        <w:rPr/>
        <w:t xml:space="preserve">Регулярно изучать каждую тему дисциплины, используя различные формы индивидуальной работы;</w:t>
      </w:r>
    </w:p>
    <w:p>
      <w:pPr>
        <w:numPr>
          <w:ilvl w:val="0"/>
          <w:numId w:val="2"/>
        </w:numPr>
      </w:pPr>
      <w:r>
        <w:rPr/>
        <w:t xml:space="preserve">Согласовывать с преподавателем виды работы по изучению дисциплины;</w:t>
      </w:r>
    </w:p>
    <w:p>
      <w:pPr>
        <w:numPr>
          <w:ilvl w:val="0"/>
          <w:numId w:val="2"/>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3"/>
        </w:numPr>
      </w:pPr>
      <w:r>
        <w:rPr/>
        <w:t xml:space="preserve">Активность студентов на семинарских и практических занятиях;</w:t>
      </w:r>
    </w:p>
    <w:p>
      <w:pPr>
        <w:numPr>
          <w:ilvl w:val="0"/>
          <w:numId w:val="3"/>
        </w:numPr>
      </w:pPr>
      <w:r>
        <w:rPr/>
        <w:t xml:space="preserve">Посещаемость студентами лекционных, практических занятий;</w:t>
      </w:r>
    </w:p>
    <w:p>
      <w:pPr>
        <w:numPr>
          <w:ilvl w:val="0"/>
          <w:numId w:val="3"/>
        </w:numPr>
      </w:pPr>
      <w:r>
        <w:rPr/>
        <w:t xml:space="preserve">Качество подготовки материалов текущего контроля знаний.</w:t>
      </w:r>
    </w:p>
    <w:p>
      <w:pPr/>
      <w:r>
        <w:rPr/>
        <w:t xml:space="preserve"> </w:t>
      </w: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w:t>
      </w:r>
      <w:r>
        <w:rPr>
          <w:i w:val="1"/>
          <w:iCs w:val="1"/>
        </w:rPr>
        <w:t xml:space="preserve">. </w:t>
      </w:r>
      <w:r>
        <w:rPr/>
        <w:t xml:space="preserve">После обозначения проблемы следует озвучить несколько аспектов, прямо вытекающих из указанной проблемы (2–3 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
        </w:numPr>
      </w:pPr>
      <w:r>
        <w:rPr/>
        <w:t xml:space="preserve">компетентность автора сообщения по указанной проблеме,</w:t>
      </w:r>
    </w:p>
    <w:p>
      <w:pPr>
        <w:numPr>
          <w:ilvl w:val="0"/>
          <w:numId w:val="4"/>
        </w:numPr>
      </w:pPr>
      <w:r>
        <w:rPr/>
        <w:t xml:space="preserve">систематизация материала по указанной схеме,</w:t>
      </w:r>
    </w:p>
    <w:p>
      <w:pPr>
        <w:numPr>
          <w:ilvl w:val="0"/>
          <w:numId w:val="4"/>
        </w:numPr>
      </w:pPr>
      <w:r>
        <w:rPr/>
        <w:t xml:space="preserve">умение работы с массивом информации и статистическими данными,</w:t>
      </w:r>
    </w:p>
    <w:p>
      <w:pPr>
        <w:numPr>
          <w:ilvl w:val="0"/>
          <w:numId w:val="4"/>
        </w:numPr>
      </w:pPr>
      <w:r>
        <w:rPr/>
        <w:t xml:space="preserve">самостоятельность при подготовке материала,</w:t>
      </w:r>
    </w:p>
    <w:p>
      <w:pPr>
        <w:numPr>
          <w:ilvl w:val="0"/>
          <w:numId w:val="4"/>
        </w:numPr>
      </w:pPr>
      <w:r>
        <w:rPr/>
        <w:t xml:space="preserve">позиция автора по отношению к указанным аспектам,</w:t>
      </w:r>
    </w:p>
    <w:p>
      <w:pPr>
        <w:numPr>
          <w:ilvl w:val="0"/>
          <w:numId w:val="4"/>
        </w:numPr>
      </w:pPr>
      <w:r>
        <w:rPr/>
        <w:t xml:space="preserve">способность автора к выявлению зависимостей и закономерностей,</w:t>
      </w:r>
    </w:p>
    <w:p>
      <w:pPr>
        <w:numPr>
          <w:ilvl w:val="0"/>
          <w:numId w:val="4"/>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w:t>
      </w:r>
      <w:r>
        <w:rPr/>
        <w:t xml:space="preserve"> </w:t>
      </w:r>
      <w:r>
        <w:rPr/>
        <w:t xml:space="preserve">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Управление проектами для профессионалов: Руководство по подготовке к сдаче сертификационного экзамена: Пер. с англ. / М. В. Ньюэлл ; пер. : А. К. Казаков. - 3-е изд. - М. : КУДИЦ-ОБРАЗ, 2006. - 416 с. :</w:t>
      </w:r>
    </w:p>
    <w:p>
      <w:pPr>
        <w:numPr>
          <w:ilvl w:val="0"/>
          <w:numId w:val="5"/>
        </w:numPr>
      </w:pPr>
      <w:r>
        <w:rPr>
          <w:i w:val="1"/>
          <w:iCs w:val="1"/>
        </w:rPr>
        <w:t xml:space="preserve">Управление проектами: Учебное пособие для вузов / М. В. Романова. - М.: ФОРУМ, 2007; М. : Инфра-М, 2007. - 253[2] с. :</w:t>
      </w:r>
    </w:p>
    <w:p>
      <w:pPr>
        <w:numPr>
          <w:ilvl w:val="0"/>
          <w:numId w:val="6"/>
        </w:numPr>
      </w:pPr>
      <w:r>
        <w:rPr/>
        <w:t xml:space="preserve">A Guide to the Project Management Body of Knowledge (</w:t>
      </w:r>
      <w:r>
        <w:rPr>
          <w:i w:val="1"/>
          <w:iCs w:val="1"/>
        </w:rPr>
        <w:t xml:space="preserve">PMBOK® Guide</w:t>
      </w:r>
      <w:r>
        <w:rPr/>
        <w:t xml:space="preserve">) — Fourth Edition</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i w:val="1"/>
          <w:iCs w:val="1"/>
        </w:rPr>
        <w:t xml:space="preserve">Математические основы управления проектами: учебное пособие для вузов / С. А. Баркалов [и др.]; ред. В. Н. Бурков. - М.: Высшая школа, 2005. - 421[3]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Microsoft Project Professional</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2A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C52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CC0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1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E7A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423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3B9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F7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2026-04-23T13:40:47+03:00</dcterms:created>
  <dcterms:modified xsi:type="dcterms:W3CDTF">2026-04-23T13:40:47+03:00</dcterms:modified>
</cp:coreProperties>
</file>

<file path=docProps/custom.xml><?xml version="1.0" encoding="utf-8"?>
<Properties xmlns="http://schemas.openxmlformats.org/officeDocument/2006/custom-properties" xmlns:vt="http://schemas.openxmlformats.org/officeDocument/2006/docPropsVTypes"/>
</file>