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ПРАКТИКА (ОЗНАКОМИТЕЛЬНАЯ)</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Ознакомительная</w:t>
      </w:r>
    </w:p>
    <w:p>
      <w:pPr>
        <w:jc w:val="numTab"/>
        <w:spacing w:before="280" w:after="280"/>
      </w:pPr>
      <w:r>
        <w:rPr>
          <w:b w:val="1"/>
          <w:bCs w:val="1"/>
        </w:rPr>
        <w:t xml:space="preserve">3. Цели практики</w:t>
      </w:r>
    </w:p>
    <w:p>
      <w:pPr/>
      <w:r>
        <w:rPr/>
        <w:t xml:space="preserve">приобретение студентами первоначальных профессиональных умений и опыта профессиональной деятельности по профилю</w:t>
      </w:r>
      <w:r>
        <w:rPr/>
        <w:t xml:space="preserve"> </w:t>
      </w:r>
      <w:r>
        <w:rPr/>
        <w:t xml:space="preserve"> </w:t>
      </w:r>
      <w:r>
        <w:rPr/>
        <w:t xml:space="preserve">подготовки</w:t>
      </w:r>
    </w:p>
    <w:p>
      <w:pPr>
        <w:jc w:val="numTab"/>
        <w:spacing w:before="280" w:after="280"/>
      </w:pPr>
      <w:r>
        <w:rPr>
          <w:b w:val="1"/>
          <w:bCs w:val="1"/>
        </w:rPr>
        <w:t xml:space="preserve">4. Задачи практики</w:t>
      </w:r>
    </w:p>
    <w:p>
      <w:pPr>
        <w:numPr>
          <w:ilvl w:val="0"/>
          <w:numId w:val="1"/>
        </w:numPr>
      </w:pPr>
      <w:r>
        <w:rPr/>
        <w:t xml:space="preserve">Ознакомление с туристско-рекреационным потенциалом и туристской инфраструктурой Республики Карелия; с организационной структурой гостиничного предприятия, его юридическим статусом, структурой управления подразделениями и их функциями; с должностными обязанностями сотрудников гостиничного предприятия; с правилами по технике безопасности, выполняемыми в организации по месту прохождения практики.</w:t>
      </w:r>
    </w:p>
    <w:p>
      <w:pPr>
        <w:numPr>
          <w:ilvl w:val="0"/>
          <w:numId w:val="1"/>
        </w:numPr>
      </w:pPr>
      <w:r>
        <w:rPr/>
        <w:t xml:space="preserve">Изучение особенностей конкретных сервисных технологий, используемых туристскими и гостиничными предприятиями, основные виды реализуемых ими</w:t>
      </w:r>
      <w:r>
        <w:rPr/>
        <w:t xml:space="preserve"> </w:t>
      </w:r>
      <w:r>
        <w:rPr/>
        <w:t xml:space="preserve"> услуг и продуктов; виды информационного обеспечения туристского и гостиничного предприятия, его рекламную деятельность.</w:t>
      </w:r>
    </w:p>
    <w:p>
      <w:pPr>
        <w:numPr>
          <w:ilvl w:val="0"/>
          <w:numId w:val="1"/>
        </w:numPr>
      </w:pPr>
      <w:r>
        <w:rPr/>
        <w:t xml:space="preserve">Приобретение первичных профессиональных умений и навыков по проектированию гостиничного продукта (услуг).</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Петрозаводский информационно-туристский центр, ООО «Лукоморье», гостиницы «Северная», «</w:t>
      </w:r>
      <w:r>
        <w:rPr/>
        <w:t xml:space="preserve">Piter</w:t>
      </w:r>
      <w:r>
        <w:rPr/>
        <w:t xml:space="preserve"> </w:t>
      </w:r>
      <w:r>
        <w:rPr/>
        <w:t xml:space="preserve">Inn</w:t>
      </w:r>
      <w:r>
        <w:rPr/>
        <w:t xml:space="preserve">», «Фрегат».</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рамках экспедиционной деятельности.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практика (ознакомительная)"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2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Учебная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Посещение мероприятий и предприятий</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  В ходе учебной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Учебная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и презентациями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дневник-отчет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Дневник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сдаче Дневника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Посещение всех мероприятий согласно графику руководителя практики</w:t>
      </w:r>
    </w:p>
    <w:p>
      <w:pPr>
        <w:jc w:val="numTab"/>
        <w:spacing w:before="280" w:after="280"/>
      </w:pPr>
      <w:r>
        <w:rPr/>
        <w:t xml:space="preserve">13.2. Промежуточная аттестация проводится в виде: учебная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1. Дневник практики – </w:t>
      </w:r>
      <w:r>
        <w:rPr/>
        <w:t xml:space="preserve">учебный отчет по практике, форма контроля, позволяющая студенту продемонстрировать обобщенные знания, умения и навыки, приобретенные за время прохождения практики. Цель - зафиксировать и продемонстрировать овладение компетенциями</w:t>
      </w:r>
    </w:p>
    <w:p>
      <w:pPr/>
      <w:r>
        <w:rPr/>
        <w:t xml:space="preserve">Схема оформления Дневника практики представлена в Приложении 1.</w:t>
      </w:r>
    </w:p>
    <w:p>
      <w:pPr/>
      <w:r>
        <w:rPr>
          <w:b w:val="1"/>
          <w:bCs w:val="1"/>
          <w:i w:val="1"/>
          <w:iCs w:val="1"/>
        </w:rPr>
        <w:t xml:space="preserve"> </w:t>
      </w:r>
    </w:p>
    <w:p>
      <w:pPr/>
      <w:r>
        <w:rPr/>
        <w:t xml:space="preserve">Требования к оформлению Дневника практики:</w:t>
      </w:r>
    </w:p>
    <w:p>
      <w:pPr>
        <w:numPr>
          <w:ilvl w:val="0"/>
          <w:numId w:val="2"/>
        </w:numPr>
      </w:pPr>
      <w:r>
        <w:rPr/>
        <w:t xml:space="preserve">Объём должен составлять не менее 1,5 печатных листа (25 страницы печатного текста, формат А4).</w:t>
      </w:r>
    </w:p>
    <w:p>
      <w:pPr>
        <w:numPr>
          <w:ilvl w:val="0"/>
          <w:numId w:val="2"/>
        </w:numPr>
      </w:pPr>
      <w:r>
        <w:rPr/>
        <w:t xml:space="preserve">На страницах указываются номера.</w:t>
      </w:r>
    </w:p>
    <w:p>
      <w:pPr>
        <w:numPr>
          <w:ilvl w:val="0"/>
          <w:numId w:val="2"/>
        </w:numPr>
      </w:pPr>
      <w:r>
        <w:rPr/>
        <w:t xml:space="preserve">Поля страницы: левое 3 см, верхнее и нижнее по 2 см, правое 1,5 см.1.</w:t>
      </w:r>
    </w:p>
    <w:p>
      <w:pPr>
        <w:numPr>
          <w:ilvl w:val="0"/>
          <w:numId w:val="2"/>
        </w:numPr>
      </w:pPr>
      <w:r>
        <w:rPr/>
        <w:t xml:space="preserve">Заголовки выравниваются по центру, подзаголовки – по левому краю, эпиграфы выравниваются по правому краю. Символы должны быть в едином стиле.</w:t>
      </w:r>
    </w:p>
    <w:p>
      <w:pPr>
        <w:numPr>
          <w:ilvl w:val="0"/>
          <w:numId w:val="2"/>
        </w:numPr>
      </w:pPr>
      <w:r>
        <w:rPr/>
        <w:t xml:space="preserve">Текст должен быть выровнен по краям.</w:t>
      </w:r>
    </w:p>
    <w:p>
      <w:pPr>
        <w:numPr>
          <w:ilvl w:val="0"/>
          <w:numId w:val="2"/>
        </w:numPr>
      </w:pPr>
      <w:r>
        <w:rPr/>
        <w:t xml:space="preserve">Красные строки обязательны.</w:t>
      </w:r>
    </w:p>
    <w:p>
      <w:pPr>
        <w:numPr>
          <w:ilvl w:val="0"/>
          <w:numId w:val="2"/>
        </w:numPr>
      </w:pPr>
      <w:r>
        <w:rPr/>
        <w:t xml:space="preserve">Шрифт «TimesNewRoman», кегль – 12, для заголовков – 14.</w:t>
      </w:r>
    </w:p>
    <w:p>
      <w:pPr>
        <w:numPr>
          <w:ilvl w:val="0"/>
          <w:numId w:val="2"/>
        </w:numPr>
      </w:pPr>
      <w:r>
        <w:rPr/>
        <w:t xml:space="preserve">Интервал между строками – 1.</w:t>
      </w:r>
    </w:p>
    <w:p>
      <w:pPr>
        <w:numPr>
          <w:ilvl w:val="0"/>
          <w:numId w:val="2"/>
        </w:numPr>
      </w:pPr>
      <w:r>
        <w:rPr/>
        <w:t xml:space="preserve">Символы должны быть в едином стиле.</w:t>
      </w:r>
    </w:p>
    <w:p>
      <w:pPr>
        <w:numPr>
          <w:ilvl w:val="0"/>
          <w:numId w:val="2"/>
        </w:numPr>
      </w:pPr>
      <w:r>
        <w:rPr/>
        <w:t xml:space="preserve">Кавычки оформляются знаком «……», а не “……..”.</w:t>
      </w:r>
    </w:p>
    <w:p>
      <w:pPr>
        <w:numPr>
          <w:ilvl w:val="0"/>
          <w:numId w:val="2"/>
        </w:numPr>
      </w:pPr>
      <w:r>
        <w:rPr/>
        <w:t xml:space="preserve">Следите, чтобы в конце предложений были точки (часто встречающаяся небрежность). Если Вы решили сделать список, то обратите внимание на тонкости оформления: - если пункт списка начинается со строчной буквы, то в конце ставится «;»; - если же Вы начинаете список с прописной буквы, то в конце ставится «.».</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Введение в социально-культурный сервис и туризм. – Барнаул : Алтайский государственный университет, 2023. – 148 с. – EDN CQVZNE.</w:t>
      </w:r>
    </w:p>
    <w:p>
      <w:pPr>
        <w:jc w:val="numTab"/>
        <w:spacing w:before="280" w:after="280"/>
      </w:pPr>
      <w:r>
        <w:rPr/>
        <w:t xml:space="preserve">14.2. Дополнительная литература:</w:t>
      </w:r>
    </w:p>
    <w:p>
      <w:pPr/>
      <w:r>
        <w:rPr/>
        <w:t xml:space="preserve">Стахова, Л. В. Основы туризма / Л. В. Стахова. – Москва : Общество с ограниченной ответственностью "Издательство ЮРАЙТ", 2023. – 327 с. – (Высшее образование). – ISBN 978-5-534-14912-8. – EDN KKMXNK.</w:t>
      </w:r>
    </w:p>
    <w:p>
      <w:pPr>
        <w:jc w:val="numTab"/>
        <w:spacing w:before="280" w:after="280"/>
      </w:pPr>
      <w:r>
        <w:rPr/>
        <w:t xml:space="preserve">14.3. Программное обеспечение и Интернет-ресурсы:</w:t>
      </w:r>
    </w:p>
    <w:p>
      <w:pPr>
        <w:numPr>
          <w:ilvl w:val="0"/>
          <w:numId w:val="3"/>
        </w:numPr>
      </w:pPr>
      <w:r>
        <w:rPr/>
        <w:t xml:space="preserve"> Пакет Microsoft Office 2007-2010 (Word, Excel, Power Point)</w:t>
      </w:r>
    </w:p>
    <w:p>
      <w:pPr>
        <w:numPr>
          <w:ilvl w:val="0"/>
          <w:numId w:val="3"/>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3"/>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4"/>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4"/>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4"/>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4"/>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4"/>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4"/>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5"/>
        </w:numPr>
      </w:pPr>
      <w:r>
        <w:rPr/>
        <w:t xml:space="preserve">официальный сайт университета (https://petrsu.ru);</w:t>
      </w:r>
    </w:p>
    <w:p>
      <w:pPr>
        <w:numPr>
          <w:ilvl w:val="0"/>
          <w:numId w:val="5"/>
        </w:numPr>
      </w:pPr>
      <w:r>
        <w:rPr/>
        <w:t xml:space="preserve">Информационно-Аналитическая Интегрированная Система управления вузом (ИАИС) (https://iias.petrsu.ru);</w:t>
      </w:r>
    </w:p>
    <w:p>
      <w:pPr>
        <w:numPr>
          <w:ilvl w:val="0"/>
          <w:numId w:val="5"/>
        </w:numPr>
      </w:pPr>
      <w:r>
        <w:rPr/>
        <w:t xml:space="preserve">образовательный портал ПетрГУ (https://edu.petrsu.ru);</w:t>
      </w:r>
    </w:p>
    <w:p>
      <w:pPr>
        <w:numPr>
          <w:ilvl w:val="0"/>
          <w:numId w:val="5"/>
        </w:numPr>
      </w:pPr>
      <w:r>
        <w:rPr/>
        <w:t xml:space="preserve">система электронной поддержки учебных курсов на базе программного обеспечения Moodle (https://moodle2.petrsu.ru), WebCT (https://webct.ru), Blackboard (https://blackboard.petrsu.ru), WebTutor (https://WebTutor.petrsu.ru) со встроенными подсистемами тестирования;</w:t>
      </w:r>
    </w:p>
    <w:p>
      <w:pPr>
        <w:numPr>
          <w:ilvl w:val="0"/>
          <w:numId w:val="5"/>
        </w:numPr>
      </w:pPr>
      <w:r>
        <w:rPr/>
        <w:t xml:space="preserve">электронные портфолио обучающихся ПетрГУ (https://portfolio.petrsu.ru);</w:t>
      </w:r>
    </w:p>
    <w:p>
      <w:pPr>
        <w:numPr>
          <w:ilvl w:val="0"/>
          <w:numId w:val="5"/>
        </w:numPr>
      </w:pPr>
      <w:r>
        <w:rPr/>
        <w:t xml:space="preserve">научная библиотека ПетрГУ (https://library.petrsu.ru) и электронный каталог «Фолиант» (https://foliant.ru/catalog/psulibr) ;</w:t>
      </w:r>
    </w:p>
    <w:p>
      <w:pPr>
        <w:numPr>
          <w:ilvl w:val="0"/>
          <w:numId w:val="5"/>
        </w:numPr>
      </w:pPr>
      <w:r>
        <w:rPr/>
        <w:t xml:space="preserve">электронная библиотека Республики Карелия (https://elibrary.karelia.ru);</w:t>
      </w:r>
    </w:p>
    <w:p>
      <w:pPr>
        <w:numPr>
          <w:ilvl w:val="0"/>
          <w:numId w:val="5"/>
        </w:numPr>
      </w:pPr>
      <w:r>
        <w:rPr/>
        <w:t xml:space="preserve">электронные научные журналы ПетрГУ (https://petrsu.ru/page/science/journals);</w:t>
      </w:r>
    </w:p>
    <w:p>
      <w:pPr>
        <w:numPr>
          <w:ilvl w:val="0"/>
          <w:numId w:val="5"/>
        </w:numPr>
      </w:pPr>
      <w:r>
        <w:rPr/>
        <w:t xml:space="preserve">корпоративная сеть ПетрГУ, включая беспроводной сегмент, и корпоративная почта;</w:t>
      </w:r>
    </w:p>
    <w:p>
      <w:pPr>
        <w:numPr>
          <w:ilvl w:val="0"/>
          <w:numId w:val="5"/>
        </w:numPr>
      </w:pPr>
      <w:r>
        <w:rPr/>
        <w:t xml:space="preserve">системы видеоконференцсвязи (TrueConf, Zoom (https://zoom.us/) и др.), сервер видеотрансляций Wowza;</w:t>
      </w:r>
    </w:p>
    <w:p>
      <w:pPr>
        <w:numPr>
          <w:ilvl w:val="0"/>
          <w:numId w:val="5"/>
        </w:numPr>
      </w:pPr>
      <w:r>
        <w:rPr/>
        <w:t xml:space="preserve">официальные сообщества университета в социальных сетях («Вконтакте» (https://vk.com/petrsu_ru), др.;</w:t>
      </w:r>
    </w:p>
    <w:p>
      <w:pPr>
        <w:numPr>
          <w:ilvl w:val="0"/>
          <w:numId w:val="5"/>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5"/>
        </w:numPr>
      </w:pPr>
      <w:r>
        <w:rPr/>
        <w:t xml:space="preserve">внешние образовательные платформы ("Юрайт" (https://urait.ru/), E-nano (https://edunano.ru/) и др.)</w:t>
      </w:r>
    </w:p>
    <w:p>
      <w:pPr>
        <w:numPr>
          <w:ilvl w:val="0"/>
          <w:numId w:val="5"/>
        </w:numPr>
      </w:pPr>
      <w:r>
        <w:rPr/>
        <w:t xml:space="preserve">система «Антиплагиат.ВУЗ» (https://petrsu.antiplagiat.ru);</w:t>
      </w:r>
    </w:p>
    <w:p>
      <w:pPr>
        <w:numPr>
          <w:ilvl w:val="0"/>
          <w:numId w:val="5"/>
        </w:numPr>
      </w:pPr>
      <w:r>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07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368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A99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4D7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67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2026-04-21T04:04:25+03:00</dcterms:created>
  <dcterms:modified xsi:type="dcterms:W3CDTF">2026-04-21T04:04:25+03:00</dcterms:modified>
</cp:coreProperties>
</file>

<file path=docProps/custom.xml><?xml version="1.0" encoding="utf-8"?>
<Properties xmlns="http://schemas.openxmlformats.org/officeDocument/2006/custom-properties" xmlns:vt="http://schemas.openxmlformats.org/officeDocument/2006/docPropsVTypes"/>
</file>