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применять современные технологии и осуществлять контроль и оценку качества обслуживания на предприятиях гостиничного сервиса</w:t>
            </w:r>
          </w:p>
        </w:tc>
        <w:tc>
          <w:tcPr>
            <w:tcW w:w="5000" w:type="dxa"/>
            <w:noWrap/>
          </w:tcPr>
          <w:p>
            <w:pPr>
              <w:jc w:val="numTab"/>
              <w:ind w:left="0" w:right="0" w:firstLine="0" w:hanging="0"/>
            </w:pPr>
            <w:r>
              <w:rPr/>
              <w:t xml:space="preserve">ПК-1.1. Знание современных технологий в гостиничном сервисе, принципов и методов создания системы контроля работы персонала гостиничного комплекса, способов оценки соответствия качества выполняемых работ разработанным на предприятии регламентам и стандартам, методов оценки эффективности системы контроля деятельности департаментов (служб, отделов) гостиничного комплекса, методики оценки соответствия гостиничного комплекса системе классификации гостиниц и иных средств размещения;
ПК-1.2. Умение применять современные технологии в гостиницах и иных средствах размещения, владеть методикой создания системы контроля в гостиницах и иных средствах размещения, анализировать проблемы в функционировании системы контроля, прогнозировать их последствия и принимать меры по исправлению и недопущению подобных ситуаций в будущем, организовывать работы по подтверждению соответствия гостиничного комплекса системе классификации гостиниц и иных средств размещения;
ПК-1.3. Навыки использования современных технологий в гостиницах и иных средствах размещения, определения форм и методов контроля бизнес-процессов департаментов (служб, отделов) гостиничного комплекса, организации службы внутреннего контроля, контроля за функционированием системы внутреннего распорядка, выполнением сотрудниками стандартов обслуживания и обеспечением качества гостиничного продукта, контроля исполнения персоналом принятых решений, соблюдения технических и санитарных условий работы структурных подразделений, выявления проблем в системе контроля гостиничного комплекса и определения уровня эффективности деятельности департаментов (служб, отделов) гостиничного комплекса.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осуществлять взаимодействие с потребителями и заинтересованными сторонами в процессе обслуживания на предприятиях гостиничного сервиса</w:t>
            </w:r>
          </w:p>
        </w:tc>
        <w:tc>
          <w:tcPr>
            <w:tcW w:w="5000" w:type="dxa"/>
            <w:noWrap/>
          </w:tcPr>
          <w:p>
            <w:pPr>
              <w:jc w:val="numTab"/>
              <w:ind w:left="0" w:right="0" w:firstLine="0" w:hanging="0"/>
            </w:pPr>
            <w:r>
              <w:rPr/>
              <w:t xml:space="preserve">ПК-2.1. Знание законодательства Российской Федерации о предоставлении гостиничных услуг, основ организации деятельности гостиниц и иных средств размещения, основ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сторонами - представителями разных культур, специализированных программ, используемых в письменных коммуникациях, в том числе возможностей информационно-телекоммуникационной сети "Интернет";
ПК-2.2. Умение владеть навыками организации устных и письменных коммуникаций с потребителями, партнерами, заинтересованными сторонами, соблюдать протокол деловых встреч и этикет с учетом национальных и корпоративных особенностей собеседников, общаться на английском языке или другом иностранном языке с учетом характеристик постоянных клиентов гостиничного комплекса на уровне, обеспечивающем эффективные профессиональные коммуникации;
ПК-2.3. Навыки проведения встреч, переговоров и презентаций гостиничного продукта потребителям, партнерам и другими заинтересованным сторонам, разрешения проблемных ситуаций потребителей, партнеров, заинтересованных сторон.</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управлять ресурсами гостиничного предприятия и осуществлять проектную деятельность в гостиничном сервисе</w:t>
            </w:r>
          </w:p>
        </w:tc>
        <w:tc>
          <w:tcPr>
            <w:tcW w:w="5000" w:type="dxa"/>
            <w:noWrap/>
          </w:tcPr>
          <w:p>
            <w:pPr>
              <w:jc w:val="numTab"/>
              <w:ind w:left="0" w:right="0" w:firstLine="0" w:hanging="0"/>
            </w:pPr>
            <w:r>
              <w:rPr/>
              <w:t xml:space="preserve">ПК-3.1. Знание законодательства Российской Федерации о предоставлении гостиничных услуг, основ организации деятельности гостиниц и иных средств размещения, основ организации, планирования и контроля деятельности подчиненных, теории мотивации персонала и обеспечения лояльности персонала, теории межличностного и делового общения, переговоров, конфликтологии, специализированных программ, используемых в гостиничных комплексах, основ финансового, бухгалтерского и статистического учета в сфере гостиничного сервиса;
ПК-3.2. Умение владеть стратегическими и тактическими методами анализа потребности департаментов (служб, отделов) гостиничного комплекса в материальных ресурсах и персонале, осуществлять планирование и организацию деятельности департаментов (служб, отделов) гостиничного комплекса, осуществлять координацию и контроль, проводить оценку эффективности деятельности департаментов (служб, отделов) гостиничного комплекса, использовать наставничество, делегирование, коучинг и другие современные формы развития руководящего состава и ключевых сотрудников департаментов (служб, отделов) гостиничного комплекса, владеть навыками деловых и межличностных коммуникаций, проведения совещаний и собраний в трудовом коллективе, общаться на английском языке или другом иностранном языке с учетом характеристик постоянных клиентов гостиничного комплекса на уровне, обеспечивающем эффективные профессиональные коммуникации;
ПК-3.3. Навыки оценки и планирования потребностей департаментов (служб, отделов) в материальных ресурсах и персонале, планирования текущей деятельности департаментов (служб, отделов) гостиничного комплекса, формирования системы бизнес-процессов, регламентов и стандартов гостиничного комплекса, координации и контроля деятельности департаментов (служб, отделов).</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7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Производственная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r>
        <w:rPr/>
        <w:t xml:space="preserve">Стахова, Л. В. Основы туризма / Л. В. Стахова. – Москва : Общество с ограниченной ответственностью "Издательство ЮРАЙТ", 2023. – 327 с. – (Высшее образование). – ISBN 978-5-534-14912-8. – EDN KKMXNK.</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4"/>
        </w:numPr>
      </w:pPr>
      <w:r>
        <w:rPr>
          <w:b w:val="0"/>
          <w:bCs w:val="0"/>
        </w:rPr>
        <w:t xml:space="preserve">официальный сайт университета (https://petrsu.ru);</w:t>
      </w:r>
    </w:p>
    <w:p>
      <w:pPr>
        <w:numPr>
          <w:ilvl w:val="0"/>
          <w:numId w:val="4"/>
        </w:numPr>
      </w:pPr>
      <w:r>
        <w:rPr>
          <w:b w:val="0"/>
          <w:bCs w:val="0"/>
        </w:rPr>
        <w:t xml:space="preserve">Информационно-Аналитическая Интегрированная Система управления вузом (ИАИС) (https://iias.petrsu.ru);</w:t>
      </w:r>
    </w:p>
    <w:p>
      <w:pPr>
        <w:numPr>
          <w:ilvl w:val="0"/>
          <w:numId w:val="4"/>
        </w:numPr>
      </w:pPr>
      <w:r>
        <w:rPr>
          <w:b w:val="0"/>
          <w:bCs w:val="0"/>
        </w:rPr>
        <w:t xml:space="preserve">образовательный портал ПетрГУ (https://edu.petrsu.ru);</w:t>
      </w:r>
    </w:p>
    <w:p>
      <w:pPr>
        <w:numPr>
          <w:ilvl w:val="0"/>
          <w:numId w:val="4"/>
        </w:numPr>
      </w:pPr>
      <w:r>
        <w:rPr>
          <w:b w:val="0"/>
          <w:bCs w:val="0"/>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4"/>
        </w:numPr>
      </w:pPr>
      <w:r>
        <w:rPr>
          <w:b w:val="0"/>
          <w:bCs w:val="0"/>
        </w:rPr>
        <w:t xml:space="preserve">электронные портфолио обучающихся ПетрГУ (https://portfolio.petrsu.ru);</w:t>
      </w:r>
    </w:p>
    <w:p>
      <w:pPr>
        <w:numPr>
          <w:ilvl w:val="0"/>
          <w:numId w:val="4"/>
        </w:numPr>
      </w:pPr>
      <w:r>
        <w:rPr>
          <w:b w:val="0"/>
          <w:bCs w:val="0"/>
        </w:rPr>
        <w:t xml:space="preserve">научная библиотека ПетрГУ (https://library.petrsu.ru) и электронный каталог «Фолиант» (https://foliant.ru/catalog/psulibr) ;</w:t>
      </w:r>
    </w:p>
    <w:p>
      <w:pPr>
        <w:numPr>
          <w:ilvl w:val="0"/>
          <w:numId w:val="4"/>
        </w:numPr>
      </w:pPr>
      <w:r>
        <w:rPr>
          <w:b w:val="0"/>
          <w:bCs w:val="0"/>
        </w:rPr>
        <w:t xml:space="preserve">электронная библиотека Республики Карелия (https://elibrary.karelia.ru);</w:t>
      </w:r>
    </w:p>
    <w:p>
      <w:pPr>
        <w:numPr>
          <w:ilvl w:val="0"/>
          <w:numId w:val="4"/>
        </w:numPr>
      </w:pPr>
      <w:r>
        <w:rPr>
          <w:b w:val="0"/>
          <w:bCs w:val="0"/>
        </w:rPr>
        <w:t xml:space="preserve">электронные научные журналы ПетрГУ (https://petrsu.ru/page/science/journals);</w:t>
      </w:r>
    </w:p>
    <w:p>
      <w:pPr>
        <w:numPr>
          <w:ilvl w:val="0"/>
          <w:numId w:val="4"/>
        </w:numPr>
      </w:pPr>
      <w:r>
        <w:rPr>
          <w:b w:val="0"/>
          <w:bCs w:val="0"/>
        </w:rPr>
        <w:t xml:space="preserve">корпоративная сеть ПетрГУ, включая беспроводной сегмент, и корпоративная почта;</w:t>
      </w:r>
    </w:p>
    <w:p>
      <w:pPr>
        <w:numPr>
          <w:ilvl w:val="0"/>
          <w:numId w:val="4"/>
        </w:numPr>
      </w:pPr>
      <w:r>
        <w:rPr>
          <w:b w:val="0"/>
          <w:bCs w:val="0"/>
        </w:rPr>
        <w:t xml:space="preserve">системы видеоконференцсвязи (TrueConf, Zoom (https://zoom.us/) и др.), сервер видеотрансляций Wowza;</w:t>
      </w:r>
    </w:p>
    <w:p>
      <w:pPr>
        <w:numPr>
          <w:ilvl w:val="0"/>
          <w:numId w:val="4"/>
        </w:numPr>
      </w:pPr>
      <w:r>
        <w:rPr>
          <w:b w:val="0"/>
          <w:bCs w:val="0"/>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4"/>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4"/>
        </w:numPr>
      </w:pPr>
      <w:r>
        <w:rPr>
          <w:b w:val="0"/>
          <w:bCs w:val="0"/>
        </w:rPr>
        <w:t xml:space="preserve">внешние образовательные платформы ("Юрайт" (https://urait.ru/), E-nano (https://edunano.ru/) и др.)</w:t>
      </w:r>
    </w:p>
    <w:p>
      <w:pPr>
        <w:numPr>
          <w:ilvl w:val="0"/>
          <w:numId w:val="4"/>
        </w:numPr>
      </w:pPr>
      <w:r>
        <w:rPr>
          <w:b w:val="0"/>
          <w:bCs w:val="0"/>
        </w:rPr>
        <w:t xml:space="preserve">система «Антиплагиат.ВУЗ» (https://petrsu.antiplagiat.ru);</w:t>
      </w:r>
    </w:p>
    <w:p>
      <w:pPr>
        <w:numPr>
          <w:ilvl w:val="0"/>
          <w:numId w:val="4"/>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78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FA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97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99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2026-04-21T03:58:44+03:00</dcterms:created>
  <dcterms:modified xsi:type="dcterms:W3CDTF">2026-04-21T03:58:44+03:00</dcterms:modified>
</cp:coreProperties>
</file>

<file path=docProps/custom.xml><?xml version="1.0" encoding="utf-8"?>
<Properties xmlns="http://schemas.openxmlformats.org/officeDocument/2006/custom-properties" xmlns:vt="http://schemas.openxmlformats.org/officeDocument/2006/docPropsVTypes"/>
</file>