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ОРГАНИЗАЦИЯ ГОСТИНИЧНОГО ДЕЛА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рынка, организовывать продажи и продвижение услуг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Определяет, анализирует, оценивает основные производственно-экономические показатели профессиональной деятельности;</w:t>
            </w:r>
          </w:p>
          <w:p/>
          <w:p>
            <w:pPr/>
            <w:r>
              <w:rPr/>
              <w:t xml:space="preserve">ОПК-5.2. Экономически обосновывает необходимость и целесообразность основных видов деятельности, бизнес процессов при  осуществлении 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Организация гостиничного дела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средств размещения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Открытие гостиницы: этапы, документация,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Инженерные системы гостиницы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основными процессами в отеле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Виды отелей и их категории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 гостиничного бизнеса: лучшие практики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Открытие гостиницы: этапы, документация,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вентиляции и кондиционирования воздуха. Канализация. Водоснабжение и водоотведение.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Электроснабжение. Система Умный дом. Видеонаблюдение. Интернет и телефонная связь. Телевидение и Смарт-ТВ.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Офисное оборудование и бытовая техника. Оснащение конференц-зала, общественных зон и зон общественного питания.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основных систем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Просмотр видеороликов о разновидностях отелей в РФ и мире, их анализ и обсуждение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карты гостеприимства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прототипа сайта отеля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оперативных данных средств размещения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конспектов по изученным материалам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карты гостеприимства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Заполнение бланков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прототипа сайта отеля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конспектов по изученным материалам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проекта средства размещения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</w:t>
      </w:r>
      <w:r>
        <w:rPr/>
        <w:t xml:space="preserve"> </w:t>
      </w:r>
      <w:r>
        <w:rPr/>
        <w:t xml:space="preserve"> следующие образовательные технологии: развивающего</w:t>
      </w:r>
      <w:r>
        <w:rPr/>
        <w:t xml:space="preserve"> </w:t>
      </w:r>
      <w:r>
        <w:rPr/>
        <w:t xml:space="preserve">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</w:t>
      </w:r>
      <w:r>
        <w:rPr/>
        <w:t xml:space="preserve"> </w:t>
      </w:r>
      <w:r>
        <w:rPr/>
        <w:t xml:space="preserve">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</w:t>
      </w:r>
      <w:r>
        <w:rPr/>
        <w:t xml:space="preserve">PowerPoint</w:t>
      </w:r>
      <w:r>
        <w:rPr/>
        <w:t xml:space="preserve">. Студенты выполняют доклады и представляют их аудитории в формате презентации </w:t>
      </w:r>
      <w:r>
        <w:rPr/>
        <w:t xml:space="preserve">PowerPoint</w:t>
      </w:r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прототип сайта отеля.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Прототип сайта отеля</w:t>
      </w:r>
    </w:p>
    <w:p>
      <w:pPr/>
      <w:r>
        <w:rPr/>
        <w:t xml:space="preserve">Создать прототип сайта отеля в системе Travelline. Отель может быть выбран самостоятельно из существующих или являться вымышленным.</w:t>
      </w:r>
    </w:p>
    <w:p>
      <w:pPr/>
      <w:r>
        <w:rPr/>
        <w:t xml:space="preserve">Подключение личного кабинета к обучающимся происходит путем регистрации на платформе Travelline, с которой у вуза заключено соглашение о сотрудничестве.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1"/>
        </w:numPr>
      </w:pPr>
      <w:r>
        <w:rPr/>
        <w:t xml:space="preserve">История развития гостиничного хозяйства за рубежом</w:t>
      </w:r>
    </w:p>
    <w:p>
      <w:pPr>
        <w:numPr>
          <w:ilvl w:val="0"/>
          <w:numId w:val="1"/>
        </w:numPr>
      </w:pPr>
      <w:r>
        <w:rPr/>
        <w:t xml:space="preserve">История развития гостиничного хозяйства в России</w:t>
      </w:r>
    </w:p>
    <w:p>
      <w:pPr>
        <w:numPr>
          <w:ilvl w:val="0"/>
          <w:numId w:val="1"/>
        </w:numPr>
      </w:pPr>
      <w:r>
        <w:rPr/>
        <w:t xml:space="preserve">Основные направления деятельности сферы предоставления услуг.</w:t>
      </w:r>
    </w:p>
    <w:p>
      <w:pPr>
        <w:numPr>
          <w:ilvl w:val="0"/>
          <w:numId w:val="1"/>
        </w:numPr>
      </w:pPr>
      <w:r>
        <w:rPr/>
        <w:t xml:space="preserve">Определение и составляющие индустрии гостеприимства.</w:t>
      </w:r>
    </w:p>
    <w:p>
      <w:pPr>
        <w:numPr>
          <w:ilvl w:val="0"/>
          <w:numId w:val="1"/>
        </w:numPr>
      </w:pPr>
      <w:r>
        <w:rPr/>
        <w:t xml:space="preserve">Факторы классификации гостиничных предприятий и его характеристики.</w:t>
      </w:r>
    </w:p>
    <w:p>
      <w:pPr>
        <w:numPr>
          <w:ilvl w:val="0"/>
          <w:numId w:val="1"/>
        </w:numPr>
      </w:pPr>
      <w:r>
        <w:rPr/>
        <w:t xml:space="preserve">Условия расширения гостиничной деятельности.</w:t>
      </w:r>
    </w:p>
    <w:p>
      <w:pPr>
        <w:numPr>
          <w:ilvl w:val="0"/>
          <w:numId w:val="1"/>
        </w:numPr>
      </w:pPr>
      <w:r>
        <w:rPr/>
        <w:t xml:space="preserve">Сферы современной сферы гостеприимства.</w:t>
      </w:r>
    </w:p>
    <w:p>
      <w:pPr>
        <w:numPr>
          <w:ilvl w:val="0"/>
          <w:numId w:val="1"/>
        </w:numPr>
      </w:pPr>
      <w:r>
        <w:rPr/>
        <w:t xml:space="preserve">Место индустрии гостеприимства в туристическом бизнесе.</w:t>
      </w:r>
    </w:p>
    <w:p>
      <w:pPr>
        <w:numPr>
          <w:ilvl w:val="0"/>
          <w:numId w:val="1"/>
        </w:numPr>
      </w:pPr>
      <w:r>
        <w:rPr/>
        <w:t xml:space="preserve">Отличительные характеристики услуги и её свойства.</w:t>
      </w:r>
    </w:p>
    <w:p>
      <w:pPr>
        <w:numPr>
          <w:ilvl w:val="0"/>
          <w:numId w:val="1"/>
        </w:numPr>
      </w:pPr>
      <w:r>
        <w:rPr/>
        <w:t xml:space="preserve">Индустрия гостеприимства – определение, сфера деятельности.</w:t>
      </w:r>
    </w:p>
    <w:p>
      <w:pPr>
        <w:numPr>
          <w:ilvl w:val="0"/>
          <w:numId w:val="1"/>
        </w:numPr>
      </w:pPr>
      <w:r>
        <w:rPr/>
        <w:t xml:space="preserve">Определения гостиничной деятельности, гостиницы, гостиничного номера, гостиничного места.</w:t>
      </w:r>
    </w:p>
    <w:p>
      <w:pPr>
        <w:numPr>
          <w:ilvl w:val="0"/>
          <w:numId w:val="1"/>
        </w:numPr>
      </w:pPr>
      <w:r>
        <w:rPr/>
        <w:t xml:space="preserve">Основные признаки гостиничного комплекса.</w:t>
      </w:r>
    </w:p>
    <w:p>
      <w:pPr>
        <w:numPr>
          <w:ilvl w:val="0"/>
          <w:numId w:val="1"/>
        </w:numPr>
      </w:pPr>
      <w:r>
        <w:rPr/>
        <w:t xml:space="preserve">Стандарты гостиничного комплекса – определение, методика составления.</w:t>
      </w:r>
    </w:p>
    <w:p>
      <w:pPr>
        <w:numPr>
          <w:ilvl w:val="0"/>
          <w:numId w:val="1"/>
        </w:numPr>
      </w:pPr>
      <w:r>
        <w:rPr/>
        <w:t xml:space="preserve">Отличительные признаки построения управленческой системы в организациях гостиничного хозяйства РФ.</w:t>
      </w:r>
    </w:p>
    <w:p>
      <w:pPr>
        <w:numPr>
          <w:ilvl w:val="0"/>
          <w:numId w:val="1"/>
        </w:numPr>
      </w:pPr>
      <w:r>
        <w:rPr/>
        <w:t xml:space="preserve">Гостиничный бизнес – классификация и перспективы развития.</w:t>
      </w:r>
    </w:p>
    <w:p>
      <w:pPr>
        <w:numPr>
          <w:ilvl w:val="0"/>
          <w:numId w:val="1"/>
        </w:numPr>
      </w:pPr>
      <w:r>
        <w:rPr/>
        <w:t xml:space="preserve">Характеристики уровня комфорта</w:t>
      </w:r>
    </w:p>
    <w:p>
      <w:pPr>
        <w:numPr>
          <w:ilvl w:val="0"/>
          <w:numId w:val="1"/>
        </w:numPr>
      </w:pPr>
      <w:r>
        <w:rPr/>
        <w:t xml:space="preserve">Определения и общие характеристики отелей различных типов.</w:t>
      </w:r>
    </w:p>
    <w:p>
      <w:pPr>
        <w:numPr>
          <w:ilvl w:val="0"/>
          <w:numId w:val="1"/>
        </w:numPr>
      </w:pPr>
      <w:r>
        <w:rPr/>
        <w:t xml:space="preserve">Зависимые и независимые гостиницы – определение, принципы управления.</w:t>
      </w:r>
    </w:p>
    <w:p>
      <w:pPr>
        <w:numPr>
          <w:ilvl w:val="0"/>
          <w:numId w:val="1"/>
        </w:numPr>
      </w:pPr>
      <w:r>
        <w:rPr/>
        <w:t xml:space="preserve">Роль и значимость гостиничной индустрии в сфере услуг</w:t>
      </w:r>
    </w:p>
    <w:p>
      <w:pPr>
        <w:numPr>
          <w:ilvl w:val="0"/>
          <w:numId w:val="1"/>
        </w:numPr>
      </w:pPr>
      <w:r>
        <w:rPr/>
        <w:t xml:space="preserve">Глобальные тенденции и перспективы развития гостиничной индустрии</w:t>
      </w:r>
    </w:p>
    <w:p>
      <w:pPr>
        <w:numPr>
          <w:ilvl w:val="0"/>
          <w:numId w:val="1"/>
        </w:numPr>
      </w:pPr>
      <w:r>
        <w:rPr/>
        <w:t xml:space="preserve">Гостиничные цепи за рубежом</w:t>
      </w:r>
    </w:p>
    <w:p>
      <w:pPr>
        <w:numPr>
          <w:ilvl w:val="0"/>
          <w:numId w:val="1"/>
        </w:numPr>
      </w:pPr>
      <w:r>
        <w:rPr/>
        <w:t xml:space="preserve">Гостиничные цепи в России</w:t>
      </w:r>
    </w:p>
    <w:p>
      <w:pPr>
        <w:numPr>
          <w:ilvl w:val="0"/>
          <w:numId w:val="1"/>
        </w:numPr>
      </w:pPr>
      <w:r>
        <w:rPr/>
        <w:t xml:space="preserve">Организационно-управленческая структура мирового гостиничного комплекса</w:t>
      </w:r>
    </w:p>
    <w:p>
      <w:pPr>
        <w:numPr>
          <w:ilvl w:val="0"/>
          <w:numId w:val="1"/>
        </w:numPr>
      </w:pPr>
      <w:r>
        <w:rPr/>
        <w:t xml:space="preserve">Организационно-правовые основы организации гостиничного дела</w:t>
      </w:r>
    </w:p>
    <w:p>
      <w:pPr>
        <w:numPr>
          <w:ilvl w:val="0"/>
          <w:numId w:val="1"/>
        </w:numPr>
      </w:pPr>
      <w:r>
        <w:rPr/>
        <w:t xml:space="preserve">Организационная структура гостиничных предприятий</w:t>
      </w:r>
    </w:p>
    <w:p>
      <w:pPr>
        <w:numPr>
          <w:ilvl w:val="0"/>
          <w:numId w:val="1"/>
        </w:numPr>
      </w:pPr>
      <w:r>
        <w:rPr/>
        <w:t xml:space="preserve">Методические основы организации гостиничного дела</w:t>
      </w:r>
    </w:p>
    <w:p>
      <w:pPr>
        <w:numPr>
          <w:ilvl w:val="0"/>
          <w:numId w:val="1"/>
        </w:numPr>
      </w:pPr>
      <w:r>
        <w:rPr/>
        <w:t xml:space="preserve">Формы государственного и международного регулирования гостиничного дела</w:t>
      </w:r>
    </w:p>
    <w:p>
      <w:pPr>
        <w:numPr>
          <w:ilvl w:val="0"/>
          <w:numId w:val="1"/>
        </w:numPr>
      </w:pPr>
      <w:r>
        <w:rPr/>
        <w:t xml:space="preserve">Классификацию гостиниц и других средств размещения</w:t>
      </w:r>
    </w:p>
    <w:p>
      <w:pPr>
        <w:numPr>
          <w:ilvl w:val="0"/>
          <w:numId w:val="1"/>
        </w:numPr>
      </w:pPr>
      <w:r>
        <w:rPr/>
        <w:t xml:space="preserve">Основные службы гостиницы</w:t>
      </w:r>
    </w:p>
    <w:p>
      <w:pPr>
        <w:numPr>
          <w:ilvl w:val="0"/>
          <w:numId w:val="1"/>
        </w:numPr>
      </w:pPr>
      <w:r>
        <w:rPr/>
        <w:t xml:space="preserve">Особенности взаимодействия служб гостиницы</w:t>
      </w:r>
    </w:p>
    <w:p>
      <w:pPr>
        <w:numPr>
          <w:ilvl w:val="0"/>
          <w:numId w:val="1"/>
        </w:numPr>
      </w:pPr>
      <w:r>
        <w:rPr/>
        <w:t xml:space="preserve">Номерной фонд. Классификация.</w:t>
      </w:r>
    </w:p>
    <w:p>
      <w:pPr>
        <w:numPr>
          <w:ilvl w:val="0"/>
          <w:numId w:val="1"/>
        </w:numPr>
      </w:pPr>
      <w:r>
        <w:rPr/>
        <w:t xml:space="preserve">Европейский стандарт классификации номеров.</w:t>
      </w:r>
    </w:p>
    <w:p>
      <w:pPr>
        <w:numPr>
          <w:ilvl w:val="0"/>
          <w:numId w:val="1"/>
        </w:numPr>
      </w:pPr>
      <w:r>
        <w:rPr/>
        <w:t xml:space="preserve">Технологии продвижения гостиничного продукта</w:t>
      </w:r>
    </w:p>
    <w:p>
      <w:pPr>
        <w:numPr>
          <w:ilvl w:val="0"/>
          <w:numId w:val="1"/>
        </w:numPr>
      </w:pPr>
      <w:r>
        <w:rPr/>
        <w:t xml:space="preserve">Основы проектирования гостиничного продукта</w:t>
      </w:r>
    </w:p>
    <w:p>
      <w:pPr>
        <w:numPr>
          <w:ilvl w:val="0"/>
          <w:numId w:val="1"/>
        </w:numPr>
      </w:pPr>
      <w:r>
        <w:rPr/>
        <w:t xml:space="preserve">Предприятия питания в гостиничном сервисе</w:t>
      </w:r>
    </w:p>
    <w:p>
      <w:pPr>
        <w:numPr>
          <w:ilvl w:val="0"/>
          <w:numId w:val="1"/>
        </w:numPr>
      </w:pPr>
      <w:r>
        <w:rPr/>
        <w:t xml:space="preserve">Этапы реализации проекта гостиничного продукта</w:t>
      </w:r>
    </w:p>
    <w:p>
      <w:pPr>
        <w:numPr>
          <w:ilvl w:val="0"/>
          <w:numId w:val="1"/>
        </w:numPr>
      </w:pPr>
      <w:r>
        <w:rPr/>
        <w:t xml:space="preserve">Анализ затрат гостиничного предприятия</w:t>
      </w:r>
    </w:p>
    <w:p>
      <w:pPr>
        <w:numPr>
          <w:ilvl w:val="0"/>
          <w:numId w:val="1"/>
        </w:numPr>
      </w:pPr>
      <w:r>
        <w:rPr/>
        <w:t xml:space="preserve">Автоматизированные системы управления в гостиницах.</w:t>
      </w:r>
    </w:p>
    <w:p>
      <w:pPr>
        <w:numPr>
          <w:ilvl w:val="0"/>
          <w:numId w:val="1"/>
        </w:numPr>
      </w:pPr>
      <w:r>
        <w:rPr/>
        <w:t xml:space="preserve">Система бронирования номерного фонда и работа с гостевым контингентом</w:t>
      </w:r>
    </w:p>
    <w:p>
      <w:pPr>
        <w:numPr>
          <w:ilvl w:val="0"/>
          <w:numId w:val="1"/>
        </w:numPr>
      </w:pPr>
      <w:r>
        <w:rPr/>
        <w:t xml:space="preserve">Оперативные показатели работы гостиничного хозяйства.</w:t>
      </w:r>
    </w:p>
    <w:p>
      <w:pPr>
        <w:numPr>
          <w:ilvl w:val="0"/>
          <w:numId w:val="1"/>
        </w:numPr>
      </w:pPr>
      <w:r>
        <w:rPr/>
        <w:t xml:space="preserve">Основные аспекты системы контроля.</w:t>
      </w:r>
    </w:p>
    <w:p>
      <w:pPr>
        <w:numPr>
          <w:ilvl w:val="0"/>
          <w:numId w:val="1"/>
        </w:numPr>
      </w:pPr>
      <w:r>
        <w:rPr/>
        <w:t xml:space="preserve">Правила составления и структуризации отчёта о прибылях и убытках</w:t>
      </w:r>
    </w:p>
    <w:p>
      <w:pPr>
        <w:numPr>
          <w:ilvl w:val="0"/>
          <w:numId w:val="1"/>
        </w:numPr>
      </w:pPr>
      <w:r>
        <w:rPr/>
        <w:t xml:space="preserve">Основные показатели эффективности функционирования гостиничного комплекса</w:t>
      </w:r>
    </w:p>
    <w:p>
      <w:pPr>
        <w:numPr>
          <w:ilvl w:val="0"/>
          <w:numId w:val="1"/>
        </w:numPr>
      </w:pPr>
      <w:r>
        <w:rPr/>
        <w:t xml:space="preserve">Методика прогнозирования процента заполняемости гостиничного комплекса.</w:t>
      </w:r>
    </w:p>
    <w:p>
      <w:pPr>
        <w:numPr>
          <w:ilvl w:val="0"/>
          <w:numId w:val="1"/>
        </w:numPr>
      </w:pPr>
      <w:r>
        <w:rPr/>
        <w:t xml:space="preserve">Калькуляция себестоимости услуг предприятий гостиничного хозяйства – определение, назначение, методика вычисления</w:t>
      </w:r>
    </w:p>
    <w:p>
      <w:pPr>
        <w:numPr>
          <w:ilvl w:val="0"/>
          <w:numId w:val="1"/>
        </w:numPr>
      </w:pPr>
      <w:r>
        <w:rPr/>
        <w:t xml:space="preserve">Аудит на предприятиях гостиничного хозяйства</w:t>
      </w:r>
    </w:p>
    <w:p>
      <w:pPr>
        <w:numPr>
          <w:ilvl w:val="0"/>
          <w:numId w:val="1"/>
        </w:numPr>
      </w:pPr>
      <w:r>
        <w:rPr/>
        <w:t xml:space="preserve">Паблисити в современном гостиничном бизнесе</w:t>
      </w:r>
    </w:p>
    <w:p>
      <w:pPr>
        <w:numPr>
          <w:ilvl w:val="0"/>
          <w:numId w:val="1"/>
        </w:numPr>
      </w:pPr>
      <w:r>
        <w:rPr/>
        <w:t xml:space="preserve">Телефонный этикет. Основные правила формирования стандартов телефонного разговора в гостиничных комплексах с полным диапазоном предоставляемых услуг.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2"/>
        </w:numPr>
      </w:pP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2"/>
        </w:numPr>
      </w:pP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2"/>
        </w:numPr>
      </w:pP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2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3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3"/>
        </w:numPr>
      </w:pPr>
      <w:r>
        <w:rPr/>
        <w:t xml:space="preserve">Посещаемость студентами лекционных, семинарских и</w:t>
      </w:r>
      <w:r>
        <w:rPr/>
        <w:t xml:space="preserve"> </w:t>
      </w:r>
      <w:r>
        <w:rPr/>
        <w:t xml:space="preserve"> практических занятий;</w:t>
      </w:r>
    </w:p>
    <w:p>
      <w:pPr>
        <w:numPr>
          <w:ilvl w:val="0"/>
          <w:numId w:val="3"/>
        </w:numPr>
      </w:pPr>
      <w:r>
        <w:rPr/>
        <w:t xml:space="preserve">Качество подготовки докладов, сообщений, вопросов к коллоквиумам, эссе, контрольных и творческих заданий, конспектов и рефератов.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Работа с учебником. </w:t>
      </w:r>
    </w:p>
    <w:p>
      <w:pPr/>
      <w:r>
        <w:rPr/>
        <w:t xml:space="preserve">Работа с учебником должна проходить в течение всего семестра. Хороший эффект чтение учебника дает перед лекцией, в связи с тем, что студент ознакомившись с темой по учебнику воспринимает и запоминает основные положения намного легче. При ознакомлении с разделом рекомендуется сначала прочитать его целиком, стараясь уловит его логику и основную мысль. При вторичном чтении акцентировать внимание на ключевых вопросах темы. Можно составить краткий конспект. Важно отметить сложные и не понятные места, чтобы на занятии задать вопрос преподавателю.</w:t>
      </w:r>
    </w:p>
    <w:p>
      <w:pPr/>
      <w:r>
        <w:rPr/>
        <w:t xml:space="preserve">Работа с конспектом лекций. Конспект должен легко восприниматься зрительно, поэтому долен быт аккуратным. Необходимо выделить заголовки, отделить один вопрос от другого, соблюдать абзацы, подчеркивать термины.</w:t>
      </w:r>
    </w:p>
    <w:p>
      <w:pPr/>
      <w:r>
        <w:rPr/>
        <w:t xml:space="preserve">Не стоит записывать каждое слово лектора, иначе потеряется основная мысль изложения. Целесообразно создать собственную удобную систему сокращений и символов. Следует оставлять поля, на которых позднее, при самостоятельной работе можно сделать дополнительные записи.</w:t>
      </w:r>
    </w:p>
    <w:p>
      <w:pPr/>
      <w:r>
        <w:rPr/>
        <w:t xml:space="preserve">Конспект лекции важно прочитать перед семинарским занятием по соответствующей теме и перед промежуточной аттестацией.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семинарскому и практическому занятию. </w:t>
      </w:r>
    </w:p>
    <w:p>
      <w:pPr/>
      <w:r>
        <w:rPr/>
        <w:t xml:space="preserve">Необходимо внимательно прочитать конспект лекции по данной тематике; ознакомиться с соответствующим разделом учебника; проработать дополнительную литературу и источники; выполнить письменные задания.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доклада, сообщения</w:t>
      </w:r>
    </w:p>
    <w:p>
      <w:pPr/>
      <w:r>
        <w:rPr/>
        <w:t xml:space="preserve">Доклад представляет собой продукт самостоятельной работы обучающегося,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темы.Своё сообщение или доклад студент готовит по определённой схеме. В самом начале выступления следует обозначить проблему. Именно данная проблема должна стать предметом дальнейших рассуждений</w:t>
      </w:r>
      <w:r>
        <w:rPr>
          <w:i w:val="1"/>
          <w:iCs w:val="1"/>
        </w:rPr>
        <w:t xml:space="preserve">.</w:t>
      </w:r>
    </w:p>
    <w:p>
      <w:pPr/>
      <w:r>
        <w:rPr/>
        <w:t xml:space="preserve">После обозначения проблемы следует озвучить несколько аспектов, прямо вытекающих из указанной проблемы (2–3 вопроса-аспекта). Далее эти аспекты освещаются более подробно.В изложении аналитического материала по заданной теме должны чётко прослеживаться:</w:t>
      </w:r>
    </w:p>
    <w:p>
      <w:pPr>
        <w:numPr>
          <w:ilvl w:val="0"/>
          <w:numId w:val="4"/>
        </w:numPr>
      </w:pPr>
      <w:r>
        <w:rPr/>
        <w:t xml:space="preserve">компетентность автора сообщения по указанной проблеме,</w:t>
      </w:r>
    </w:p>
    <w:p>
      <w:pPr>
        <w:numPr>
          <w:ilvl w:val="0"/>
          <w:numId w:val="4"/>
        </w:numPr>
      </w:pPr>
      <w:r>
        <w:rPr/>
        <w:t xml:space="preserve">систематизация материала по указанной схеме,</w:t>
      </w:r>
    </w:p>
    <w:p>
      <w:pPr>
        <w:numPr>
          <w:ilvl w:val="0"/>
          <w:numId w:val="4"/>
        </w:numPr>
      </w:pPr>
      <w:r>
        <w:rPr/>
        <w:t xml:space="preserve">умение работы с массивом информации и статистическими данными,</w:t>
      </w:r>
    </w:p>
    <w:p>
      <w:pPr>
        <w:numPr>
          <w:ilvl w:val="0"/>
          <w:numId w:val="4"/>
        </w:numPr>
      </w:pPr>
      <w:r>
        <w:rPr/>
        <w:t xml:space="preserve">самостоятельность при подготовке материала,</w:t>
      </w:r>
    </w:p>
    <w:p>
      <w:pPr>
        <w:numPr>
          <w:ilvl w:val="0"/>
          <w:numId w:val="4"/>
        </w:numPr>
      </w:pPr>
      <w:r>
        <w:rPr/>
        <w:t xml:space="preserve">позиция автора по отношению к указанным аспектам,</w:t>
      </w:r>
    </w:p>
    <w:p>
      <w:pPr>
        <w:numPr>
          <w:ilvl w:val="0"/>
          <w:numId w:val="4"/>
        </w:numPr>
      </w:pPr>
      <w:r>
        <w:rPr/>
        <w:t xml:space="preserve">способность автора к выявлению зависимостей и закономерностей,</w:t>
      </w:r>
    </w:p>
    <w:p>
      <w:pPr>
        <w:numPr>
          <w:ilvl w:val="0"/>
          <w:numId w:val="4"/>
        </w:numPr>
      </w:pPr>
      <w:r>
        <w:rPr/>
        <w:t xml:space="preserve">аналитические рассуждения автора и формулирование выводов.</w:t>
      </w:r>
    </w:p>
    <w:p>
      <w:pPr/>
      <w:r>
        <w:rPr/>
        <w:t xml:space="preserve">После изложения материала следует озвучить пути решения указанной проблемы, особое внимание уделяя её аспектам. Предложения автора не должны носить декларативного характера, их следует чётко аргументировать и обосновать.</w:t>
      </w:r>
    </w:p>
    <w:p>
      <w:pPr/>
      <w:r>
        <w:rPr/>
        <w:t xml:space="preserve">В заключение сообщаются источники информации, которые помогли студенту подготовить своё выступление. Предполагается, что таких источников должно быть не менее трёх, причем два из них – на бумажном носителе, то есть это могут быть учебники, учебные пособия, монографии, газеты, журналы и прочее.</w:t>
      </w:r>
    </w:p>
    <w:p>
      <w:pPr/>
      <w:r>
        <w:rPr/>
        <w:t xml:space="preserve">Регламент одного выступления – 7-10 минут.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Подготовка к коллоквиуму</w:t>
      </w:r>
    </w:p>
    <w:p>
      <w:pPr/>
      <w:r>
        <w:rPr/>
        <w:t xml:space="preserve">Коллоквиумом называется собеседование преподавателя и студентов по заранее определенным контрольным вопросам.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литературы, глубокое изучение материала.</w:t>
      </w:r>
    </w:p>
    <w:p>
      <w:pPr/>
      <w:r>
        <w:rPr/>
        <w:t xml:space="preserve">От студентов требуется:</w:t>
      </w:r>
    </w:p>
    <w:p>
      <w:pPr/>
      <w:r>
        <w:rPr/>
        <w:t xml:space="preserve">- владение изученным в ходе учебного процесса материалом, относящимся к рассматриваемой проблеме;</w:t>
      </w:r>
    </w:p>
    <w:p>
      <w:pPr/>
      <w:r>
        <w:rPr/>
        <w:t xml:space="preserve">- знание разных точек зрения, высказанных в научной литературе по соответствующей проблеме, умение сопоставлять их между собой;</w:t>
      </w:r>
    </w:p>
    <w:p>
      <w:pPr/>
      <w:r>
        <w:rPr/>
        <w:t xml:space="preserve">- наличие собственного мнения по обсуждаемым вопросам и умение его аргументировать.</w:t>
      </w:r>
    </w:p>
    <w:p>
      <w:pPr/>
      <w:r>
        <w:rPr/>
        <w:t xml:space="preserve">Подготовка к коллоквиуму начинается с установочной консультации преподавателя, на которой он разъясняет развернутую тематику проблемы, рекомендует литературу для изучения. При подготовке к коллоквиуму студентам следует, прежде всего, просмотреть конспекты лекций и практических занятий и отметить в них имеющиеся вопросы коллоквиума. Если какие-то вопросы вынесены преподавателем на самостоятельное изучение, следует обратиться к учебной литературе, рекомендованной преподавателем в качестве источника сведений.</w:t>
      </w:r>
    </w:p>
    <w:p>
      <w:pPr/>
      <w:r>
        <w:rPr/>
        <w:t xml:space="preserve">Коллоквиум проводится в форме индивидуальной беседы преподавателя с каждым студентом или групповой беседы.</w:t>
      </w:r>
    </w:p>
    <w:p>
      <w:pPr/>
      <w:r>
        <w:rPr>
          <w:b w:val="1"/>
          <w:bCs w:val="1"/>
        </w:rPr>
        <w:t xml:space="preserve">Подготовка к промежуточной аттестации.</w:t>
      </w:r>
    </w:p>
    <w:p>
      <w:pPr/>
      <w:r>
        <w:rPr/>
        <w:t xml:space="preserve">Для успешной сдачи экзамена следует соблюдать следующие правила:</w:t>
      </w:r>
    </w:p>
    <w:p>
      <w:pPr/>
      <w:r>
        <w:rPr/>
        <w:t xml:space="preserve">- подготовка должна быть системной в течение всего семестра;</w:t>
      </w:r>
    </w:p>
    <w:p>
      <w:pPr/>
      <w:r>
        <w:rPr/>
        <w:t xml:space="preserve"> </w:t>
      </w:r>
      <w:r>
        <w:rPr/>
        <w:t xml:space="preserve">Необходимо распределить вопросы таким образом, чтобы успеть</w:t>
      </w:r>
      <w:r>
        <w:rPr/>
        <w:t xml:space="preserve"> </w:t>
      </w:r>
      <w:r>
        <w:rPr/>
        <w:t xml:space="preserve"> выучить или повторить их полностью до начала сессии;</w:t>
      </w:r>
    </w:p>
    <w:p>
      <w:pPr/>
      <w:r>
        <w:rPr/>
        <w:t xml:space="preserve">Три-четыре дня перед экзаменом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i w:val="1"/>
          <w:iCs w:val="1"/>
        </w:rPr>
        <w:t xml:space="preserve">Текущий контроль успеваемости</w:t>
      </w:r>
      <w:r>
        <w:rPr/>
        <w:t xml:space="preserve"> представляет собой проверку усвоения учебного материала, регулярно осуществляемую на протяжении семестра. Текущий контроль знаний студентов включает следующие оценочные средства: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устный опрос (групповой или индивидуальный);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проверку выполнения письменных домашних заданий;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творческих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контрольных работ;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тестирование (письменное или компьютерное);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проведение коллоквиумов (в письменной или устной форме);</w:t>
      </w:r>
    </w:p>
    <w:p>
      <w:pPr/>
      <w:r>
        <w:rPr/>
        <w:t xml:space="preserve">-</w:t>
      </w:r>
      <w:r>
        <w:rPr/>
        <w:t xml:space="preserve">  </w:t>
      </w:r>
      <w:r>
        <w:rPr/>
        <w:t xml:space="preserve"> контроль самостоятельной работы студентов (в письменной или устной форме).</w:t>
      </w:r>
    </w:p>
    <w:p>
      <w:pPr/>
      <w:r>
        <w:rPr>
          <w:i w:val="1"/>
          <w:iCs w:val="1"/>
        </w:rPr>
        <w:t xml:space="preserve">Промежуточная аттестация</w:t>
      </w:r>
      <w:r>
        <w:rPr/>
        <w:t xml:space="preserve"> осуществляется в конце семестра и завершает изучение дисциплины.</w:t>
      </w:r>
    </w:p>
    <w:p>
      <w:pPr/>
      <w:r>
        <w:rPr/>
        <w:t xml:space="preserve">Промежуточная аттестация проводится в форме зачета или экзамена.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Никольская, Е. Ю. Организация гостиничного дела : Учебное пособие / Е. Ю. Никольская, Д. В. Галкин. – Москва : Общество с ограниченной ответственностью "Русайнс", 2024. – 266 с. – ISBN 978-5-466-06617-3. – EDN EECYIR.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Хатикова, З. В. Организация и технология гостиничного дела / З. В. Хатикова, И. А. Шевчук, Д. В. Нехайчук. – Севастополь : Общество с ограниченной ответственностью «Издательство Типография «Ариал», 2020. – 204 с. – ISBN 978-5-907310-51-3. – EDN BVGRDO.</w:t>
      </w:r>
    </w:p>
    <w:p>
      <w:pPr/>
      <w:r>
        <w:rPr/>
        <w:t xml:space="preserve">Клюева, Ю. С. Организация гостиничного дела : Учебник и практикум / Ю. С. Клюева, П. Г. Николенко, Е. А. Шамин. – 1-е изд.. – Москва : Издательство Юрайт, 2019. – 449 с. – (Высшее образование). – ISBN 978-5-534-10614-5. – EDN VXBIHP.</w:t>
      </w:r>
    </w:p>
    <w:p>
      <w:pPr/>
      <w:r>
        <w:rPr/>
        <w:t xml:space="preserve">Николенко, П. Г. Организация гостиничного дела : Учебник / П. Г. Николенко, Е. А. Шамин, Ю. С. Клюева. – 2-е издание, дополненное и переработанное. – Москва : Издательство Юрайт, 2023. – 531 с. – ISBN 978-5-534-17282-9. – EDN GXRBWC.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 Пакет Microsoft Office 2007-2010 (Word, Excel, Power Point)</w:t>
      </w:r>
    </w:p>
    <w:p>
      <w:pPr>
        <w:numPr>
          <w:ilvl w:val="0"/>
          <w:numId w:val="5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5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6"/>
        </w:numPr>
      </w:pPr>
      <w:r>
        <w:rPr>
          <w:b w:val="0"/>
          <w:bCs w:val="0"/>
        </w:rPr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  <w:r>
        <w:rPr>
          <w:b w:val="0"/>
          <w:bCs w:val="0"/>
        </w:rPr>
        <w:t xml:space="preserve">Составными элементами ЭИОС университета являются: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официальный сайт университета (https://petrsu.ru);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образовательный портал ПетрГУ (https://edu.petrsu.ru);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система электронной поддержки учебных курсов на базе программного обеспечения Moodle (https://moodle2.petrsu.ru), WebCT (https://webct.ru), Blackboard (https://blackboard.petrsu.ru), WebTutor (https://WebTutor.petrsu.ru) со встроенными подсистемами тестирования;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электронные портфолио обучающихся ПетрГУ (https://portfolio.petrsu.ru);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электронная библиотека Республики Карелия (https://elibrary.karelia.ru);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электронные научные журналы ПетрГУ (https://petrsu.ru/page/science/journals);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системы видеоконференцсвязи (TrueConf, Zoom (https://zoom.us/) и др.), сервер видеотрансляций Wowza;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официальные сообщества университета в социальных сетях («Вконтакте» (https://vk.com/petrsu_ru), «Facebook» (https://www.facebook.com/petrsunews),«Twitter» (https://twitter.com/PetrSU_news), «Youtube» (https://www.youtube.com/channel/UCF6X8SpjmB8v2X6KGZBJNwA ) и др.;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  «Консультант врача: электронная медицинская библиотека» (https://www.rosmedlib.ru); 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внешние образовательные платформы ("Юрайт" (https://urait.ru/), E-nano (https://edunano.ru/) и др.)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система «Антиплагиат.ВУЗ» (https://petrsu.antiplagiat.ru);</w:t>
      </w:r>
    </w:p>
    <w:p>
      <w:pPr>
        <w:numPr>
          <w:ilvl w:val="1"/>
          <w:numId w:val="6"/>
        </w:numPr>
      </w:pPr>
      <w:r>
        <w:rPr>
          <w:b w:val="0"/>
          <w:bCs w:val="0"/>
        </w:rPr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numPr>
          <w:ilvl w:val="0"/>
          <w:numId w:val="6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CF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B6C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51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F92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E3A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412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6641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2026-04-23T19:23:19+03:00</dcterms:created>
  <dcterms:modified xsi:type="dcterms:W3CDTF">2026-04-23T19:23:19+03:00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