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ОРГАНИЗАЦИЯ ВНУТРЕННЕГО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законодательство Российской Федерации, а также нормы международного права при осуществлении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Осуществляет поиск необходимой нормативно-правовой документации для деятельности в избранной профессиональной области;</w:t>
            </w:r>
          </w:p>
          <w:p/>
          <w:p>
            <w:pPr/>
            <w:r>
              <w:rPr/>
              <w:t xml:space="preserve">ОПК-6.2. Обоснованно применяет нормативно-правовую документацию в области своей профессиональной деятельности;</w:t>
            </w:r>
          </w:p>
          <w:p/>
          <w:p>
            <w:pPr/>
            <w:r>
              <w:rPr/>
              <w:t xml:space="preserve">ОПК-6.3. Соблюдает законодательство Российской Федерации о предоставлении профессиональных услуг;</w:t>
            </w:r>
          </w:p>
          <w:p/>
          <w:p>
            <w:pPr/>
            <w:r>
              <w:rPr/>
              <w:t xml:space="preserve">ОПК-6.4.Обеспечивает документооборот в соответствии с нормативными требованиями.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Организация внутреннего туризма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Внутренний туризм как вид коммерческой деятельности на туристском рынке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Взаимодействие туроператоров с партнерами и поставщиками услуг туристского бизнеса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организации и обслуживания туристов внутреннего туристского рынка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Курсовой проект (работа)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экзамен, курсовая работа.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Туроператор - как субъект рынка внутреннего туризма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Нормативно-правовые требования к деятельности туроператора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Общественные туристские организации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Проблемы и тенденции развития современного туристского рынка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Схемы сотрудничества туроператоров с партнерами по туристскому бизнесу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Страхование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Продвижение туристского продукта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организации и качества туристского продукта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Приоритетные направления развития туризма в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безопасности туристов на туристских маршрутах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проблемы и тенденции развития туризма в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на тему: Туроператор - как субъект рынка внутреннего туризма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на тему: Нормативно-правовые требования к деятельности туроператора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на тему: Общественные туристские организации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на тему: Проблемы и тенденции развития современного туристского рынка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на тему: Схемы сотрудничества туроператоров с партнерами по туристскому бизнесу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на тему: Страхование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на тему: Продвижение туристского продукта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на тему: Основные направления внутреннего туризма. Виды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на тему: Требования к обслуживанию туристов на туристских маршрутах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на тему: Обеспечение безопасности туристов на туристских маршрутах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на тему: Основные проблемы и тенденции развития туризма в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курсовой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преподавания учебной дисциплины «Организация внутреннего туризма» используются следующие ориентиры при развитии активных методов обучения:</w:t>
      </w:r>
    </w:p>
    <w:p>
      <w:pPr>
        <w:numPr>
          <w:ilvl w:val="0"/>
          <w:numId w:val="1"/>
        </w:numPr>
      </w:pPr>
      <w:r>
        <w:rPr/>
        <w:t xml:space="preserve">деловые коммуникации;</w:t>
      </w:r>
    </w:p>
    <w:p>
      <w:pPr>
        <w:numPr>
          <w:ilvl w:val="0"/>
          <w:numId w:val="1"/>
        </w:numPr>
      </w:pPr>
      <w:r>
        <w:rPr/>
        <w:t xml:space="preserve">подготовка и проведение докладов и сообщений;</w:t>
      </w:r>
    </w:p>
    <w:p>
      <w:pPr>
        <w:numPr>
          <w:ilvl w:val="0"/>
          <w:numId w:val="1"/>
        </w:numPr>
      </w:pPr>
      <w:r>
        <w:rPr/>
        <w:t xml:space="preserve">деловые игры;</w:t>
      </w:r>
    </w:p>
    <w:p>
      <w:pPr>
        <w:numPr>
          <w:ilvl w:val="0"/>
          <w:numId w:val="1"/>
        </w:numPr>
      </w:pPr>
      <w:r>
        <w:rPr/>
        <w:t xml:space="preserve">разбор актуальных ситуаций.</w:t>
      </w:r>
    </w:p>
    <w:p>
      <w:pPr/>
      <w:r>
        <w:rPr/>
        <w:t xml:space="preserve">Удельный вес занятий, проводимых в интерактивных формах определен целью программы. Количество интерактивных практических занятий составляет около 70 %.</w:t>
      </w:r>
    </w:p>
    <w:p>
      <w:pPr/>
      <w:r>
        <w:rPr/>
        <w:t xml:space="preserve">Под инновационными методами в высшем профессиональном образовании подразумеваются методы, основанные на использовании современных достижений науки и информационных технологий в образовании. Они должны быть направлены на повышение качества подготовки путем развития у студентов творческих способностей и самостоятельности (методы проблемного и проективного обучения, исследовательские методы, тренинговые формы, предусматривающие актуализацию творческого потенциала и самостоятельности студентов).</w:t>
      </w:r>
    </w:p>
    <w:p>
      <w:pPr/>
      <w:r>
        <w:rPr/>
        <w:t xml:space="preserve">Инновационные технологии определяются на следующих основаниях:</w:t>
      </w:r>
    </w:p>
    <w:p>
      <w:pPr>
        <w:numPr>
          <w:ilvl w:val="0"/>
          <w:numId w:val="2"/>
        </w:numPr>
      </w:pPr>
      <w:r>
        <w:rPr/>
        <w:t xml:space="preserve">это объективно новые педагогические технологии, которые являются результатом педагогического творчества;</w:t>
      </w:r>
    </w:p>
    <w:p>
      <w:pPr>
        <w:numPr>
          <w:ilvl w:val="0"/>
          <w:numId w:val="2"/>
        </w:numPr>
      </w:pPr>
      <w:r>
        <w:rPr/>
        <w:t xml:space="preserve">это известные образовательные технологии, применяемые в новых условиях и адаптированные к конкретному возрасту обучающихся, ступени и форме обучения, образовательному предмету (области) и пр.;</w:t>
      </w:r>
    </w:p>
    <w:p>
      <w:pPr>
        <w:numPr>
          <w:ilvl w:val="0"/>
          <w:numId w:val="2"/>
        </w:numPr>
      </w:pPr>
      <w:r>
        <w:rPr/>
        <w:t xml:space="preserve">это адаптированные к образовательному процессу вуза технологии, взятые из зарубежной практики или других сфер социальной и профессиональной деятельности.</w:t>
      </w:r>
    </w:p>
    <w:p>
      <w:pPr/>
      <w:r>
        <w:rPr/>
        <w:t xml:space="preserve">Из числа инновационных образовательных технологий в процессе преподавания дисциплины используются:</w:t>
      </w:r>
    </w:p>
    <w:p>
      <w:pPr>
        <w:numPr>
          <w:ilvl w:val="0"/>
          <w:numId w:val="3"/>
        </w:numPr>
      </w:pPr>
      <w:r>
        <w:rPr/>
        <w:t xml:space="preserve">технологии активного обучения (выполнение практических заданий, дискуссии, тестирование);</w:t>
      </w:r>
    </w:p>
    <w:p>
      <w:pPr>
        <w:numPr>
          <w:ilvl w:val="0"/>
          <w:numId w:val="3"/>
        </w:numPr>
      </w:pPr>
      <w:r>
        <w:rPr/>
        <w:t xml:space="preserve">технология проблемного обучения (проблемное изложение материала, эвристическая беседа, частично-поисковые и исследовательские методики);</w:t>
      </w:r>
    </w:p>
    <w:p>
      <w:pPr>
        <w:numPr>
          <w:ilvl w:val="0"/>
          <w:numId w:val="3"/>
        </w:numPr>
      </w:pPr>
      <w:r>
        <w:rPr/>
        <w:t xml:space="preserve">метод инициации мышления – метод контрольных (эвристических) вопросов;</w:t>
      </w:r>
    </w:p>
    <w:p>
      <w:pPr>
        <w:numPr>
          <w:ilvl w:val="0"/>
          <w:numId w:val="3"/>
        </w:numPr>
      </w:pPr>
      <w:r>
        <w:rPr/>
        <w:t xml:space="preserve">технологии коллективного взаимодействия (сотрудничество, диалог и др.)</w:t>
      </w:r>
    </w:p>
    <w:p>
      <w:pPr/>
      <w:r>
        <w:rPr/>
        <w:t xml:space="preserve">Инновационные методы могут реализовываться как в традиционной, так и в других технологиях обучения.</w:t>
      </w:r>
    </w:p>
    <w:p>
      <w:pPr/>
      <w:r>
        <w:rPr/>
        <w:t xml:space="preserve">Проведение учебных занятий построено на основе активизации мыслительной деятельности студентов, постановке и решении мыслительных задач, осуществлении логического анализа наиболее важных профессиональных задач.</w:t>
      </w:r>
    </w:p>
    <w:p>
      <w:pPr/>
      <w:r>
        <w:rPr/>
        <w:t xml:space="preserve">Проведение семинаров, помимо известных методик, направлено на методологический анализ системы профессиональной деятельности в сфере туризма, на основе метода генерации идей совокупным интеллектом.</w:t>
      </w:r>
    </w:p>
    <w:p>
      <w:pPr/>
      <w:r>
        <w:rPr/>
        <w:t xml:space="preserve">Инновационный подход к образованию предполагает формирование современных компетенций, отличающихся освоением новых действий и приемов в различных ситуациях.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>
          <w:b w:val="1"/>
          <w:bCs w:val="1"/>
        </w:rPr>
        <w:t xml:space="preserve">Темы для рефератов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Раздел 1. </w:t>
      </w:r>
    </w:p>
    <w:p>
      <w:pPr>
        <w:numPr>
          <w:ilvl w:val="0"/>
          <w:numId w:val="4"/>
        </w:numPr>
      </w:pPr>
      <w:r>
        <w:rPr/>
        <w:t xml:space="preserve">Особенности туристского рынка внутреннего туризма;</w:t>
      </w:r>
    </w:p>
    <w:p>
      <w:pPr>
        <w:numPr>
          <w:ilvl w:val="0"/>
          <w:numId w:val="4"/>
        </w:numPr>
      </w:pPr>
      <w:r>
        <w:rPr/>
        <w:t xml:space="preserve">Условия осуществления туристской деятельности туроператора внутреннего туризма;</w:t>
      </w:r>
    </w:p>
    <w:p>
      <w:pPr>
        <w:numPr>
          <w:ilvl w:val="0"/>
          <w:numId w:val="4"/>
        </w:numPr>
      </w:pPr>
      <w:r>
        <w:rPr/>
        <w:t xml:space="preserve">Современный туристский рынок Республики Карелия;</w:t>
      </w:r>
    </w:p>
    <w:p>
      <w:pPr>
        <w:numPr>
          <w:ilvl w:val="0"/>
          <w:numId w:val="4"/>
        </w:numPr>
      </w:pPr>
      <w:r>
        <w:rPr/>
        <w:t xml:space="preserve">Виды активного туризма;</w:t>
      </w:r>
    </w:p>
    <w:p>
      <w:pPr>
        <w:numPr>
          <w:ilvl w:val="0"/>
          <w:numId w:val="4"/>
        </w:numPr>
      </w:pPr>
      <w:r>
        <w:rPr/>
        <w:t xml:space="preserve">Виды событийного туризма;</w:t>
      </w:r>
    </w:p>
    <w:p>
      <w:pPr>
        <w:numPr>
          <w:ilvl w:val="0"/>
          <w:numId w:val="4"/>
        </w:numPr>
      </w:pPr>
      <w:r>
        <w:rPr/>
        <w:t xml:space="preserve">Особенности экскурсионного туризма;</w:t>
      </w:r>
    </w:p>
    <w:p>
      <w:pPr>
        <w:numPr>
          <w:ilvl w:val="0"/>
          <w:numId w:val="4"/>
        </w:numPr>
      </w:pPr>
      <w:r>
        <w:rPr/>
        <w:t xml:space="preserve">Требования к организации внутреннего турпродукта;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Раздел 2.          </w:t>
      </w:r>
    </w:p>
    <w:p>
      <w:pPr>
        <w:numPr>
          <w:ilvl w:val="0"/>
          <w:numId w:val="5"/>
        </w:numPr>
      </w:pPr>
      <w:r>
        <w:rPr/>
        <w:t xml:space="preserve">Взаимодействие туроператора с партнерами по турбизнесу;</w:t>
      </w:r>
    </w:p>
    <w:p>
      <w:pPr>
        <w:numPr>
          <w:ilvl w:val="0"/>
          <w:numId w:val="5"/>
        </w:numPr>
      </w:pPr>
      <w:r>
        <w:rPr/>
        <w:t xml:space="preserve">Поставщики услуг, требования к ним;</w:t>
      </w:r>
    </w:p>
    <w:p>
      <w:pPr>
        <w:numPr>
          <w:ilvl w:val="0"/>
          <w:numId w:val="5"/>
        </w:numPr>
      </w:pPr>
      <w:r>
        <w:rPr/>
        <w:t xml:space="preserve">Виды страхования в туризме;</w:t>
      </w:r>
    </w:p>
    <w:p>
      <w:pPr>
        <w:numPr>
          <w:ilvl w:val="0"/>
          <w:numId w:val="5"/>
        </w:numPr>
      </w:pPr>
      <w:r>
        <w:rPr/>
        <w:t xml:space="preserve">Турпродукт внутреннего туризма, его особенности;</w:t>
      </w:r>
    </w:p>
    <w:p>
      <w:pPr>
        <w:numPr>
          <w:ilvl w:val="0"/>
          <w:numId w:val="5"/>
        </w:numPr>
      </w:pPr>
      <w:r>
        <w:rPr/>
        <w:t xml:space="preserve">Продвижение турпродукта на туристском рынке.</w:t>
      </w:r>
    </w:p>
    <w:p>
      <w:pPr>
        <w:numPr>
          <w:ilvl w:val="0"/>
          <w:numId w:val="5"/>
        </w:numPr>
      </w:pPr>
      <w:r>
        <w:rPr/>
        <w:t xml:space="preserve">Средства размещения в Республике Карелия.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>
          <w:b w:val="1"/>
          <w:bCs w:val="1"/>
        </w:rPr>
        <w:t xml:space="preserve">Вопросы для семинара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Туроператор - как субъект рынка внутреннего туризма</w:t>
      </w:r>
    </w:p>
    <w:p>
      <w:pPr>
        <w:numPr>
          <w:ilvl w:val="0"/>
          <w:numId w:val="6"/>
        </w:numPr>
      </w:pPr>
      <w:r>
        <w:rPr/>
        <w:t xml:space="preserve">Нормативно-правовые требования к деятельности туроператора</w:t>
      </w:r>
    </w:p>
    <w:p>
      <w:pPr>
        <w:numPr>
          <w:ilvl w:val="0"/>
          <w:numId w:val="6"/>
        </w:numPr>
      </w:pPr>
      <w:r>
        <w:rPr/>
        <w:t xml:space="preserve">Общественные туристские организации Российской Федерации</w:t>
      </w:r>
    </w:p>
    <w:p>
      <w:pPr>
        <w:numPr>
          <w:ilvl w:val="0"/>
          <w:numId w:val="6"/>
        </w:numPr>
      </w:pPr>
      <w:r>
        <w:rPr/>
        <w:t xml:space="preserve">Проблемы и тенденции развития современного туристского рынка Российской Федерации</w:t>
      </w:r>
    </w:p>
    <w:p>
      <w:pPr>
        <w:numPr>
          <w:ilvl w:val="0"/>
          <w:numId w:val="6"/>
        </w:numPr>
      </w:pPr>
      <w:r>
        <w:rPr/>
        <w:t xml:space="preserve">Схемы сотрудничества туроператоров с партнерами по туристскому бизнесу</w:t>
      </w:r>
    </w:p>
    <w:p>
      <w:pPr>
        <w:numPr>
          <w:ilvl w:val="0"/>
          <w:numId w:val="6"/>
        </w:numPr>
      </w:pPr>
      <w:r>
        <w:rPr/>
        <w:t xml:space="preserve">Формы сотрудничества туроператоров со средствами размещения</w:t>
      </w:r>
    </w:p>
    <w:p>
      <w:pPr>
        <w:numPr>
          <w:ilvl w:val="0"/>
          <w:numId w:val="6"/>
        </w:numPr>
      </w:pPr>
      <w:r>
        <w:rPr/>
        <w:t xml:space="preserve">Взаимодействие туроператоров с поставщиками услуг</w:t>
      </w:r>
    </w:p>
    <w:p>
      <w:pPr>
        <w:numPr>
          <w:ilvl w:val="0"/>
          <w:numId w:val="6"/>
        </w:numPr>
      </w:pPr>
      <w:r>
        <w:rPr/>
        <w:t xml:space="preserve">Страхование в туризме</w:t>
      </w:r>
    </w:p>
    <w:p>
      <w:pPr>
        <w:numPr>
          <w:ilvl w:val="0"/>
          <w:numId w:val="6"/>
        </w:numPr>
      </w:pPr>
      <w:r>
        <w:rPr/>
        <w:t xml:space="preserve">Продвижение туристского продукта</w:t>
      </w:r>
    </w:p>
    <w:p>
      <w:pPr>
        <w:numPr>
          <w:ilvl w:val="0"/>
          <w:numId w:val="6"/>
        </w:numPr>
      </w:pPr>
      <w:r>
        <w:rPr/>
        <w:t xml:space="preserve">Центры туристской активности в Российской Федерации</w:t>
      </w:r>
    </w:p>
    <w:p>
      <w:pPr>
        <w:numPr>
          <w:ilvl w:val="0"/>
          <w:numId w:val="6"/>
        </w:numPr>
      </w:pPr>
      <w:r>
        <w:rPr/>
        <w:t xml:space="preserve">Основные направления внутреннего туризма. Виды туризма</w:t>
      </w:r>
    </w:p>
    <w:p>
      <w:pPr>
        <w:numPr>
          <w:ilvl w:val="0"/>
          <w:numId w:val="6"/>
        </w:numPr>
      </w:pPr>
      <w:r>
        <w:rPr/>
        <w:t xml:space="preserve">Технология организации и качества туристского продукта</w:t>
      </w:r>
    </w:p>
    <w:p>
      <w:pPr>
        <w:numPr>
          <w:ilvl w:val="0"/>
          <w:numId w:val="6"/>
        </w:numPr>
      </w:pPr>
      <w:r>
        <w:rPr/>
        <w:t xml:space="preserve">Требования к обслуживанию туристов на туристских маршрутах</w:t>
      </w:r>
    </w:p>
    <w:p>
      <w:pPr>
        <w:numPr>
          <w:ilvl w:val="0"/>
          <w:numId w:val="6"/>
        </w:numPr>
      </w:pPr>
      <w:r>
        <w:rPr/>
        <w:t xml:space="preserve">Индустрия детского отдыха в России</w:t>
      </w:r>
    </w:p>
    <w:p>
      <w:pPr>
        <w:numPr>
          <w:ilvl w:val="0"/>
          <w:numId w:val="6"/>
        </w:numPr>
      </w:pPr>
      <w:r>
        <w:rPr/>
        <w:t xml:space="preserve">Организация семейного отдыха</w:t>
      </w:r>
    </w:p>
    <w:p>
      <w:pPr>
        <w:numPr>
          <w:ilvl w:val="0"/>
          <w:numId w:val="6"/>
        </w:numPr>
      </w:pPr>
      <w:r>
        <w:rPr/>
        <w:t xml:space="preserve">Речные круизы</w:t>
      </w:r>
    </w:p>
    <w:p>
      <w:pPr>
        <w:numPr>
          <w:ilvl w:val="0"/>
          <w:numId w:val="6"/>
        </w:numPr>
      </w:pPr>
      <w:r>
        <w:rPr/>
        <w:t xml:space="preserve">Обеспечение безопасности туристов на туристских маршрутах</w:t>
      </w:r>
    </w:p>
    <w:p>
      <w:pPr>
        <w:numPr>
          <w:ilvl w:val="0"/>
          <w:numId w:val="6"/>
        </w:numPr>
      </w:pPr>
      <w:r>
        <w:rPr/>
        <w:t xml:space="preserve">Основные проблемы и тенденции развития туризма в Карелии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>
          <w:b w:val="1"/>
          <w:bCs w:val="1"/>
        </w:rPr>
        <w:t xml:space="preserve">Темы курсовых  работ</w:t>
      </w:r>
    </w:p>
    <w:p>
      <w:pPr>
        <w:numPr>
          <w:ilvl w:val="0"/>
          <w:numId w:val="7"/>
        </w:numPr>
      </w:pPr>
      <w:r>
        <w:rPr/>
        <w:t xml:space="preserve">Взаимодействие туроператора с поставщиками услуг при организации активного туризма;</w:t>
      </w:r>
    </w:p>
    <w:p>
      <w:pPr>
        <w:numPr>
          <w:ilvl w:val="0"/>
          <w:numId w:val="7"/>
        </w:numPr>
      </w:pPr>
      <w:r>
        <w:rPr/>
        <w:t xml:space="preserve">Развитие экскурсионного туризма в Сортавальском районе;</w:t>
      </w:r>
    </w:p>
    <w:p>
      <w:pPr>
        <w:numPr>
          <w:ilvl w:val="0"/>
          <w:numId w:val="7"/>
        </w:numPr>
      </w:pPr>
      <w:r>
        <w:rPr/>
        <w:t xml:space="preserve">Этнотуризм, его виды, разработка турпродукта в Олонецком районе;</w:t>
      </w:r>
    </w:p>
    <w:p>
      <w:pPr>
        <w:numPr>
          <w:ilvl w:val="0"/>
          <w:numId w:val="7"/>
        </w:numPr>
      </w:pPr>
      <w:r>
        <w:rPr/>
        <w:t xml:space="preserve">Развитие событийного туризма в Карелии;</w:t>
      </w:r>
    </w:p>
    <w:p>
      <w:pPr>
        <w:numPr>
          <w:ilvl w:val="0"/>
          <w:numId w:val="7"/>
        </w:numPr>
      </w:pPr>
      <w:r>
        <w:rPr/>
        <w:t xml:space="preserve">Развитие горно-лыжного туризма в Карелии;</w:t>
      </w:r>
    </w:p>
    <w:p>
      <w:pPr>
        <w:numPr>
          <w:ilvl w:val="0"/>
          <w:numId w:val="7"/>
        </w:numPr>
      </w:pPr>
      <w:r>
        <w:rPr/>
        <w:t xml:space="preserve">Разработка путевой экскурсионной информации по маршруту: Петрозаводск-Сортавала;</w:t>
      </w:r>
    </w:p>
    <w:p>
      <w:pPr>
        <w:numPr>
          <w:ilvl w:val="0"/>
          <w:numId w:val="7"/>
        </w:numPr>
      </w:pPr>
      <w:r>
        <w:rPr/>
        <w:t xml:space="preserve">Разработка путевой экскурсионной информации по маршруту: Петрозаводск-Медвежьегорск – Беломорск;</w:t>
      </w:r>
    </w:p>
    <w:p>
      <w:pPr>
        <w:numPr>
          <w:ilvl w:val="0"/>
          <w:numId w:val="7"/>
        </w:numPr>
      </w:pPr>
      <w:r>
        <w:rPr/>
        <w:t xml:space="preserve">Разработка путевой экскурсионной информации по маршруту: Петрозаводск – Пряжа – Олонец;</w:t>
      </w:r>
    </w:p>
    <w:p>
      <w:pPr>
        <w:numPr>
          <w:ilvl w:val="0"/>
          <w:numId w:val="7"/>
        </w:numPr>
      </w:pPr>
      <w:r>
        <w:rPr/>
        <w:t xml:space="preserve">Центры туристской активности в Республике Карелия;</w:t>
      </w:r>
    </w:p>
    <w:p>
      <w:pPr>
        <w:numPr>
          <w:ilvl w:val="0"/>
          <w:numId w:val="7"/>
        </w:numPr>
      </w:pPr>
      <w:r>
        <w:rPr/>
        <w:t xml:space="preserve">Технология разработки туристского продукта в соответствии с современными туристскими стандартами;</w:t>
      </w:r>
    </w:p>
    <w:p>
      <w:pPr>
        <w:numPr>
          <w:ilvl w:val="0"/>
          <w:numId w:val="7"/>
        </w:numPr>
      </w:pPr>
      <w:r>
        <w:rPr/>
        <w:t xml:space="preserve">Разработка путевой информационной информации с использованием топонимов в Медвежьегорском районе.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 курсовой работы.</w:t>
      </w:r>
    </w:p>
    <w:p>
      <w:pPr/>
      <w:r>
        <w:rPr/>
        <w:t xml:space="preserve">По результатам защиты курсовой работы выставляется оценка: «отлично», «хорошо», «удовлетворительно», «неудовлетворительно».</w:t>
      </w:r>
    </w:p>
    <w:p>
      <w:pPr/>
      <w:r>
        <w:rPr/>
        <w:t xml:space="preserve">Оценка «отлично» выставляется при условии, что:</w:t>
      </w:r>
    </w:p>
    <w:p>
      <w:pPr>
        <w:numPr>
          <w:ilvl w:val="0"/>
          <w:numId w:val="8"/>
        </w:numPr>
      </w:pPr>
      <w:r>
        <w:rPr/>
        <w:t xml:space="preserve">работа выполнена самостоятельно, носит творческий характер, возможно содержание элементов научной новизны;</w:t>
      </w:r>
    </w:p>
    <w:p>
      <w:pPr>
        <w:numPr>
          <w:ilvl w:val="0"/>
          <w:numId w:val="8"/>
        </w:numPr>
      </w:pPr>
      <w:r>
        <w:rPr/>
        <w:t xml:space="preserve">собран, обобщен и проанализирован достаточный объем литературных источников;</w:t>
      </w:r>
    </w:p>
    <w:p>
      <w:pPr>
        <w:numPr>
          <w:ilvl w:val="0"/>
          <w:numId w:val="8"/>
        </w:numPr>
      </w:pPr>
      <w:r>
        <w:rPr/>
        <w:t xml:space="preserve">при написании и защите работы студентом дневного отделения продемонстрирован высокий уровень развития общекультурных и профессиональных компетенций, теоретические знания и наличие практических навыков;</w:t>
      </w:r>
    </w:p>
    <w:p>
      <w:pPr>
        <w:numPr>
          <w:ilvl w:val="0"/>
          <w:numId w:val="8"/>
        </w:numPr>
      </w:pPr>
      <w:r>
        <w:rPr/>
        <w:t xml:space="preserve">работа хорошо оформлена и своевременно представлена на кафедру, полностью соответствует требованиям, предъявляемым к содержанию и оформлению курсовых работ;</w:t>
      </w:r>
    </w:p>
    <w:p>
      <w:pPr>
        <w:numPr>
          <w:ilvl w:val="0"/>
          <w:numId w:val="8"/>
        </w:numPr>
      </w:pPr>
      <w:r>
        <w:rPr/>
        <w:t xml:space="preserve">на защите освещены все вопросы исследования, ответы студента на вопросы профессионально грамотны, исчерпывающие, результаты исследования подкреплены статистическими критериями;</w:t>
      </w:r>
    </w:p>
    <w:p>
      <w:pPr/>
      <w:r>
        <w:rPr/>
        <w:t xml:space="preserve">Оценка «хорошо» ставится, если:</w:t>
      </w:r>
    </w:p>
    <w:p>
      <w:pPr>
        <w:numPr>
          <w:ilvl w:val="0"/>
          <w:numId w:val="9"/>
        </w:numPr>
      </w:pPr>
      <w:r>
        <w:rPr/>
        <w:t xml:space="preserve">тема работы раскрыта, однако выводы и рекомендации не всегда оригинальны и / или не имеют практической значимости, есть неточности при освещении отдельных вопросов темы;</w:t>
      </w:r>
    </w:p>
    <w:p>
      <w:pPr>
        <w:numPr>
          <w:ilvl w:val="0"/>
          <w:numId w:val="9"/>
        </w:numPr>
      </w:pPr>
      <w:r>
        <w:rPr/>
        <w:t xml:space="preserve">собран, обобщен и проанализирован необходимый объем литературы, но не по всем аспектам исследуемой темы сделаны выводы и обоснованы практические рекомендации;</w:t>
      </w:r>
    </w:p>
    <w:p>
      <w:pPr>
        <w:numPr>
          <w:ilvl w:val="0"/>
          <w:numId w:val="9"/>
        </w:numPr>
      </w:pPr>
      <w:r>
        <w:rPr/>
        <w:t xml:space="preserve">при написании и защите работы студентом продемонстрирован средний уровень развития общекультурных и профессиональных компетенций, наличие теоретических знаний и достаточных практических навыков;</w:t>
      </w:r>
    </w:p>
    <w:p>
      <w:pPr>
        <w:numPr>
          <w:ilvl w:val="0"/>
          <w:numId w:val="9"/>
        </w:numPr>
      </w:pPr>
      <w:r>
        <w:rPr/>
        <w:t xml:space="preserve">работа своевременно представлена на кафедру, есть отдельные недостатки в ее оформлении;</w:t>
      </w:r>
    </w:p>
    <w:p>
      <w:pPr>
        <w:numPr>
          <w:ilvl w:val="0"/>
          <w:numId w:val="9"/>
        </w:numPr>
      </w:pPr>
      <w:r>
        <w:rPr/>
        <w:t xml:space="preserve">в процессе защиты работы были неполные ответы на вопросы.</w:t>
      </w:r>
    </w:p>
    <w:p>
      <w:pPr/>
      <w:r>
        <w:rPr/>
        <w:t xml:space="preserve">Оценка «удовлетворительно» ставится, когда:</w:t>
      </w:r>
    </w:p>
    <w:p>
      <w:pPr>
        <w:numPr>
          <w:ilvl w:val="0"/>
          <w:numId w:val="10"/>
        </w:numPr>
      </w:pPr>
      <w:r>
        <w:rPr/>
        <w:t xml:space="preserve">тема работы раскрыта частично, но в основном правильно, допущено поверхностное изложение отдельных вопросов темы;</w:t>
      </w:r>
    </w:p>
    <w:p>
      <w:pPr>
        <w:numPr>
          <w:ilvl w:val="0"/>
          <w:numId w:val="10"/>
        </w:numPr>
      </w:pPr>
      <w:r>
        <w:rPr/>
        <w:t xml:space="preserve">в работе недостаточно полно была использована литература, выводы и практические рекомендации не отражали в достаточной степени содержание работы;</w:t>
      </w:r>
    </w:p>
    <w:p>
      <w:pPr>
        <w:numPr>
          <w:ilvl w:val="0"/>
          <w:numId w:val="10"/>
        </w:numPr>
      </w:pPr>
      <w:r>
        <w:rPr/>
        <w:t xml:space="preserve">при написании и защите работы студентом продемонстрирован удовлетворительный уровень развития общекультурных и профессиональных компетенций, поверхностный уровень теоретических знаний и практических навыков;</w:t>
      </w:r>
    </w:p>
    <w:p>
      <w:pPr>
        <w:numPr>
          <w:ilvl w:val="0"/>
          <w:numId w:val="10"/>
        </w:numPr>
      </w:pPr>
      <w:r>
        <w:rPr/>
        <w:t xml:space="preserve">работа своевременно представлена на кафедру, однако не в полном объеме по содержанию и / или оформлению соответствует предъявляемым требованиям;</w:t>
      </w:r>
    </w:p>
    <w:p>
      <w:pPr>
        <w:numPr>
          <w:ilvl w:val="0"/>
          <w:numId w:val="10"/>
        </w:numPr>
      </w:pPr>
      <w:r>
        <w:rPr/>
        <w:t xml:space="preserve">в процессе защиты выпускник недостаточно полно изложил основные положения работы, испытывал затруднения при ответах на вопросы.</w:t>
      </w:r>
    </w:p>
    <w:p>
      <w:pPr/>
      <w:r>
        <w:rPr/>
        <w:t xml:space="preserve">Оценка «неудовлетворительно» ставится, если:</w:t>
      </w:r>
    </w:p>
    <w:p>
      <w:pPr>
        <w:numPr>
          <w:ilvl w:val="0"/>
          <w:numId w:val="11"/>
        </w:numPr>
      </w:pPr>
      <w:r>
        <w:rPr/>
        <w:t xml:space="preserve">содержание работы не раскрывает тему, вопросы изложены бессистемно и поверхностно, нет анализа практического материала, основные положения и рекомендации не имеют обоснования;</w:t>
      </w:r>
    </w:p>
    <w:p>
      <w:pPr>
        <w:numPr>
          <w:ilvl w:val="0"/>
          <w:numId w:val="11"/>
        </w:numPr>
      </w:pPr>
      <w:r>
        <w:rPr/>
        <w:t xml:space="preserve">работа не оригинальна, основана на компиляции публикаций по теме;</w:t>
      </w:r>
    </w:p>
    <w:p>
      <w:pPr>
        <w:numPr>
          <w:ilvl w:val="0"/>
          <w:numId w:val="11"/>
        </w:numPr>
      </w:pPr>
      <w:r>
        <w:rPr/>
        <w:t xml:space="preserve">при написании и защите работы студентом продемонстрирован неудовлетворительный уровень развития общекультурных и профессиональных компетенций;</w:t>
      </w:r>
    </w:p>
    <w:p>
      <w:pPr>
        <w:numPr>
          <w:ilvl w:val="0"/>
          <w:numId w:val="11"/>
        </w:numPr>
      </w:pPr>
      <w:r>
        <w:rPr/>
        <w:t xml:space="preserve">работа несвоевременно представлена на кафедру, не в полном объеме по содержанию и оформлению соответствует предъявляемым требованиям;</w:t>
      </w:r>
    </w:p>
    <w:p>
      <w:pPr>
        <w:numPr>
          <w:ilvl w:val="0"/>
          <w:numId w:val="11"/>
        </w:numPr>
      </w:pPr>
      <w:r>
        <w:rPr/>
        <w:t xml:space="preserve">на защите студент дневного отделения показал поверхностные знания по исследуемой теме, отсутствие представлений об актуальных проблемах по теме работы, плохо отвечал на вопросы.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</w:t>
      </w:r>
    </w:p>
    <w:p>
      <w:pPr>
        <w:numPr>
          <w:ilvl w:val="0"/>
          <w:numId w:val="12"/>
        </w:numPr>
      </w:pPr>
      <w:r>
        <w:rPr/>
        <w:t xml:space="preserve">Туроператор - как субъект рынка внутреннего туризма</w:t>
      </w:r>
    </w:p>
    <w:p>
      <w:pPr>
        <w:numPr>
          <w:ilvl w:val="0"/>
          <w:numId w:val="12"/>
        </w:numPr>
      </w:pPr>
      <w:r>
        <w:rPr/>
        <w:t xml:space="preserve">Нормативно-правовые требования к деятельности туроператора</w:t>
      </w:r>
    </w:p>
    <w:p>
      <w:pPr>
        <w:numPr>
          <w:ilvl w:val="0"/>
          <w:numId w:val="12"/>
        </w:numPr>
      </w:pPr>
      <w:r>
        <w:rPr/>
        <w:t xml:space="preserve">Общественные туристские организации Российской Федерации</w:t>
      </w:r>
    </w:p>
    <w:p>
      <w:pPr>
        <w:numPr>
          <w:ilvl w:val="0"/>
          <w:numId w:val="12"/>
        </w:numPr>
      </w:pPr>
      <w:r>
        <w:rPr/>
        <w:t xml:space="preserve">Проблемы и тенденции развития современного туристского рынка Российской Федерации</w:t>
      </w:r>
    </w:p>
    <w:p>
      <w:pPr>
        <w:numPr>
          <w:ilvl w:val="0"/>
          <w:numId w:val="12"/>
        </w:numPr>
      </w:pPr>
      <w:r>
        <w:rPr/>
        <w:t xml:space="preserve">Схемы сотрудничества туроператоров с партнерами по туристскому бизнесу</w:t>
      </w:r>
    </w:p>
    <w:p>
      <w:pPr>
        <w:numPr>
          <w:ilvl w:val="0"/>
          <w:numId w:val="12"/>
        </w:numPr>
      </w:pPr>
      <w:r>
        <w:rPr/>
        <w:t xml:space="preserve">Формы сотрудничества туроператоров со средствами размещения</w:t>
      </w:r>
    </w:p>
    <w:p>
      <w:pPr>
        <w:numPr>
          <w:ilvl w:val="0"/>
          <w:numId w:val="12"/>
        </w:numPr>
      </w:pPr>
      <w:r>
        <w:rPr/>
        <w:t xml:space="preserve">Взаимодействие туроператоров с поставщиками услуг</w:t>
      </w:r>
    </w:p>
    <w:p>
      <w:pPr>
        <w:numPr>
          <w:ilvl w:val="0"/>
          <w:numId w:val="12"/>
        </w:numPr>
      </w:pPr>
      <w:r>
        <w:rPr/>
        <w:t xml:space="preserve">Страхование в туризме</w:t>
      </w:r>
    </w:p>
    <w:p>
      <w:pPr>
        <w:numPr>
          <w:ilvl w:val="0"/>
          <w:numId w:val="12"/>
        </w:numPr>
      </w:pPr>
      <w:r>
        <w:rPr/>
        <w:t xml:space="preserve">Продвижение туристского продукта</w:t>
      </w:r>
    </w:p>
    <w:p>
      <w:pPr>
        <w:numPr>
          <w:ilvl w:val="0"/>
          <w:numId w:val="12"/>
        </w:numPr>
      </w:pPr>
      <w:r>
        <w:rPr/>
        <w:t xml:space="preserve">Центры туристской активности в Российской Федерации</w:t>
      </w:r>
    </w:p>
    <w:p>
      <w:pPr>
        <w:numPr>
          <w:ilvl w:val="0"/>
          <w:numId w:val="12"/>
        </w:numPr>
      </w:pPr>
      <w:r>
        <w:rPr/>
        <w:t xml:space="preserve">Основные направления внутреннего туризма. Виды туризма</w:t>
      </w:r>
    </w:p>
    <w:p>
      <w:pPr>
        <w:numPr>
          <w:ilvl w:val="0"/>
          <w:numId w:val="12"/>
        </w:numPr>
      </w:pPr>
      <w:r>
        <w:rPr/>
        <w:t xml:space="preserve">Технология организации и качества туристского продукта</w:t>
      </w:r>
    </w:p>
    <w:p>
      <w:pPr>
        <w:numPr>
          <w:ilvl w:val="0"/>
          <w:numId w:val="12"/>
        </w:numPr>
      </w:pPr>
      <w:r>
        <w:rPr/>
        <w:t xml:space="preserve">Требования к обслуживанию туристов на туристских маршрутах</w:t>
      </w:r>
    </w:p>
    <w:p>
      <w:pPr>
        <w:numPr>
          <w:ilvl w:val="0"/>
          <w:numId w:val="12"/>
        </w:numPr>
      </w:pPr>
      <w:r>
        <w:rPr/>
        <w:t xml:space="preserve">Индустрия детского отдыха в России</w:t>
      </w:r>
    </w:p>
    <w:p>
      <w:pPr>
        <w:numPr>
          <w:ilvl w:val="0"/>
          <w:numId w:val="12"/>
        </w:numPr>
      </w:pPr>
      <w:r>
        <w:rPr/>
        <w:t xml:space="preserve">Организация семейного отдыха</w:t>
      </w:r>
    </w:p>
    <w:p>
      <w:pPr>
        <w:numPr>
          <w:ilvl w:val="0"/>
          <w:numId w:val="12"/>
        </w:numPr>
      </w:pPr>
      <w:r>
        <w:rPr/>
        <w:t xml:space="preserve">Речные круизы</w:t>
      </w:r>
    </w:p>
    <w:p>
      <w:pPr>
        <w:numPr>
          <w:ilvl w:val="0"/>
          <w:numId w:val="12"/>
        </w:numPr>
      </w:pPr>
      <w:r>
        <w:rPr/>
        <w:t xml:space="preserve">Обеспечение безопасности туристов на туристских маршрутах</w:t>
      </w:r>
    </w:p>
    <w:p>
      <w:pPr>
        <w:numPr>
          <w:ilvl w:val="0"/>
          <w:numId w:val="12"/>
        </w:numPr>
      </w:pPr>
      <w:r>
        <w:rPr/>
        <w:t xml:space="preserve">Основные проблемы и тенденции развития туризма в Карелии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13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13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13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13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При успешном прохождении рубежных контрольных испытаний студент может претендовать на сокращение программы промежуточной (итоговой) аттестации по дисциплине.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14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14"/>
        </w:numPr>
      </w:pPr>
      <w:r>
        <w:rPr/>
        <w:t xml:space="preserve">Посещаемость студентами лекционных, семинарских и  практических занятий;</w:t>
      </w:r>
    </w:p>
    <w:p>
      <w:pPr>
        <w:numPr>
          <w:ilvl w:val="0"/>
          <w:numId w:val="14"/>
        </w:numPr>
      </w:pPr>
      <w:r>
        <w:rPr/>
        <w:t xml:space="preserve">Качество подготовки контрольных и творческих заданий.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Работа с учебником. </w:t>
      </w:r>
    </w:p>
    <w:p>
      <w:pPr/>
      <w:r>
        <w:rPr/>
        <w:t xml:space="preserve">Работа с учебником должна проходить в течение всего семестра. Хороший эффект чтение учебника дает перед лекцией, в связи с тем, что студент ознакомившись с темой по учебнику воспринимает и запоминает основные положения намного легче. При ознакомлении с разделом рекомендуется сначала прочитать его целиком, стараясь уловит его логику и основную мысль. При вторичном чтении акцентировать внимание на ключевых вопросах темы. Можно составить краткий конспект. Важно отметить сложные и не понятные места, чтобы на занятии задать вопрос преподавателю.</w:t>
      </w:r>
    </w:p>
    <w:p>
      <w:pPr/>
      <w:r>
        <w:rPr/>
        <w:t xml:space="preserve">Работа с конспектом лекций. Конспект должен легко восприниматься зрительно, поэтому долен быт аккуратным. Необходимо выделить заголовки, отделить один вопрос от другого, соблюдать абзацы, подчеркивать термины.</w:t>
      </w:r>
    </w:p>
    <w:p>
      <w:pPr/>
      <w:r>
        <w:rPr/>
        <w:t xml:space="preserve">Не стоит записывать каждое слово лектора, иначе потеряется основная мысль изложения. Целесообразно создать собственную удобную систему сокращений и символов. Следует оставлять поля, на которых позднее, при самостоятельной работе можно сделать дополнительные записи.</w:t>
      </w:r>
    </w:p>
    <w:p>
      <w:pPr/>
      <w:r>
        <w:rPr/>
        <w:t xml:space="preserve">Конспект лекции важно прочитать перед семинарским занятием по соответствующей теме и перед промежуточной аттестацией.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Подготовка к семинарскому и практическому занятию. </w:t>
      </w:r>
    </w:p>
    <w:p>
      <w:pPr/>
      <w:r>
        <w:rPr/>
        <w:t xml:space="preserve">Необходимо внимательно прочитать конспект лекции по данной тематике; ознакомиться с соответствующим разделом учебника; проработать дополнительную литературу и источники; выполнить письменные задания.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Рекомендации по подготовке курсовой работы.</w:t>
      </w:r>
    </w:p>
    <w:p>
      <w:pPr/>
      <w:r>
        <w:rPr/>
        <w:t xml:space="preserve">Работа над курсовой работой начинается с выбора темы. После выбора темы студент приступает  к  изучению  информационного  материала.  Весь  собранный материал обобщается, анализируется и предоставляется в виде методической разработки экскурсии с составлением технологической документации для ее реализации. </w:t>
      </w:r>
    </w:p>
    <w:p>
      <w:pPr/>
      <w:r>
        <w:rPr/>
        <w:t xml:space="preserve">Процесс подготовки курсовой работы можно представить в следующем виде:</w:t>
      </w:r>
    </w:p>
    <w:p>
      <w:pPr>
        <w:numPr>
          <w:ilvl w:val="0"/>
          <w:numId w:val="15"/>
        </w:numPr>
      </w:pPr>
      <w:r>
        <w:rPr/>
        <w:t xml:space="preserve">выбор темы исследования;</w:t>
      </w:r>
    </w:p>
    <w:p>
      <w:pPr>
        <w:numPr>
          <w:ilvl w:val="0"/>
          <w:numId w:val="15"/>
        </w:numPr>
      </w:pPr>
      <w:r>
        <w:rPr/>
        <w:t xml:space="preserve">анализ научно-методической литературы;</w:t>
      </w:r>
    </w:p>
    <w:p>
      <w:pPr>
        <w:numPr>
          <w:ilvl w:val="0"/>
          <w:numId w:val="15"/>
        </w:numPr>
      </w:pPr>
      <w:r>
        <w:rPr/>
        <w:t xml:space="preserve">определение объекта и предмета исследования;</w:t>
      </w:r>
    </w:p>
    <w:p>
      <w:pPr>
        <w:numPr>
          <w:ilvl w:val="0"/>
          <w:numId w:val="15"/>
        </w:numPr>
      </w:pPr>
      <w:r>
        <w:rPr/>
        <w:t xml:space="preserve">определение цели и задач;</w:t>
      </w:r>
    </w:p>
    <w:p>
      <w:pPr>
        <w:numPr>
          <w:ilvl w:val="0"/>
          <w:numId w:val="15"/>
        </w:numPr>
      </w:pPr>
      <w:r>
        <w:rPr/>
        <w:t xml:space="preserve">выдвижение рабочей гипотезы;</w:t>
      </w:r>
    </w:p>
    <w:p>
      <w:pPr>
        <w:numPr>
          <w:ilvl w:val="0"/>
          <w:numId w:val="15"/>
        </w:numPr>
      </w:pPr>
      <w:r>
        <w:rPr/>
        <w:t xml:space="preserve">выбор методов исследования;</w:t>
      </w:r>
    </w:p>
    <w:p>
      <w:pPr>
        <w:numPr>
          <w:ilvl w:val="0"/>
          <w:numId w:val="15"/>
        </w:numPr>
      </w:pPr>
      <w:r>
        <w:rPr/>
        <w:t xml:space="preserve">формулировка названия работы адекватного ее содержанию;</w:t>
      </w:r>
    </w:p>
    <w:p>
      <w:pPr>
        <w:numPr>
          <w:ilvl w:val="0"/>
          <w:numId w:val="15"/>
        </w:numPr>
      </w:pPr>
      <w:r>
        <w:rPr/>
        <w:t xml:space="preserve">подготовка и проведение исследовательской части работы;</w:t>
      </w:r>
    </w:p>
    <w:p>
      <w:pPr>
        <w:numPr>
          <w:ilvl w:val="0"/>
          <w:numId w:val="15"/>
        </w:numPr>
      </w:pPr>
      <w:r>
        <w:rPr/>
        <w:t xml:space="preserve">математико-статистическая обработка результатов исследования;</w:t>
      </w:r>
    </w:p>
    <w:p>
      <w:pPr>
        <w:numPr>
          <w:ilvl w:val="0"/>
          <w:numId w:val="15"/>
        </w:numPr>
      </w:pPr>
      <w:r>
        <w:rPr/>
        <w:t xml:space="preserve">обобщение и интерпретация полученных данных;</w:t>
      </w:r>
    </w:p>
    <w:p>
      <w:pPr>
        <w:numPr>
          <w:ilvl w:val="0"/>
          <w:numId w:val="15"/>
        </w:numPr>
      </w:pPr>
      <w:r>
        <w:rPr/>
        <w:t xml:space="preserve">формулировка выводов;</w:t>
      </w:r>
    </w:p>
    <w:p>
      <w:pPr>
        <w:numPr>
          <w:ilvl w:val="0"/>
          <w:numId w:val="15"/>
        </w:numPr>
      </w:pPr>
      <w:r>
        <w:rPr/>
        <w:t xml:space="preserve">оформление работы;</w:t>
      </w:r>
    </w:p>
    <w:p>
      <w:pPr>
        <w:numPr>
          <w:ilvl w:val="0"/>
          <w:numId w:val="15"/>
        </w:numPr>
      </w:pPr>
      <w:r>
        <w:rPr/>
        <w:t xml:space="preserve">защита работы.</w:t>
      </w:r>
    </w:p>
    <w:p>
      <w:pPr/>
      <w:r>
        <w:rPr/>
        <w:t xml:space="preserve">Курсовая работа (КР) должна включать в себя следующее:</w:t>
      </w:r>
    </w:p>
    <w:p>
      <w:pPr>
        <w:numPr>
          <w:ilvl w:val="0"/>
          <w:numId w:val="16"/>
        </w:numPr>
      </w:pPr>
      <w:r>
        <w:rPr/>
        <w:t xml:space="preserve">Введение (обоснование выбора темы и постановку задач исследования, выполненные на основе обзора литературы).</w:t>
      </w:r>
    </w:p>
    <w:p>
      <w:pPr>
        <w:numPr>
          <w:ilvl w:val="0"/>
          <w:numId w:val="16"/>
        </w:numPr>
      </w:pPr>
      <w:r>
        <w:rPr/>
        <w:t xml:space="preserve">Теоретическую и (или) экспериментальную части, включающие методы и средства исследований.</w:t>
      </w:r>
    </w:p>
    <w:p>
      <w:pPr>
        <w:numPr>
          <w:ilvl w:val="0"/>
          <w:numId w:val="16"/>
        </w:numPr>
      </w:pPr>
      <w:r>
        <w:rPr/>
        <w:t xml:space="preserve">Анализ полученных результатов.</w:t>
      </w:r>
    </w:p>
    <w:p>
      <w:pPr>
        <w:numPr>
          <w:ilvl w:val="0"/>
          <w:numId w:val="16"/>
        </w:numPr>
      </w:pPr>
      <w:r>
        <w:rPr/>
        <w:t xml:space="preserve">Выводы и рекомендации.</w:t>
      </w:r>
    </w:p>
    <w:p>
      <w:pPr>
        <w:numPr>
          <w:ilvl w:val="0"/>
          <w:numId w:val="16"/>
        </w:numPr>
      </w:pPr>
      <w:r>
        <w:rPr/>
        <w:t xml:space="preserve">Список использованной литературы.</w:t>
      </w:r>
    </w:p>
    <w:p>
      <w:pPr/>
      <w:r>
        <w:rPr/>
        <w:t xml:space="preserve">Объем курсовой работы составляет 25–30 страниц текста без учета приложений. Оформление курсовой работы</w:t>
      </w:r>
    </w:p>
    <w:p>
      <w:pPr/>
      <w:r>
        <w:rPr/>
        <w:t xml:space="preserve">Принимаются только сброшюрованные работы, выполненные с помощью компьютерного набора. Текст работы должен быть напечатан на одной стороне стандартного листаформата A4 (210 x 297 мм) с соблюдением следующих характеристик:</w:t>
      </w:r>
    </w:p>
    <w:p>
      <w:pPr>
        <w:numPr>
          <w:ilvl w:val="0"/>
          <w:numId w:val="17"/>
        </w:numPr>
      </w:pPr>
      <w:r>
        <w:rPr/>
        <w:t xml:space="preserve">шрифт Times New Roman;</w:t>
      </w:r>
    </w:p>
    <w:p>
      <w:pPr>
        <w:numPr>
          <w:ilvl w:val="0"/>
          <w:numId w:val="17"/>
        </w:numPr>
      </w:pPr>
      <w:r>
        <w:rPr/>
        <w:t xml:space="preserve">размер шрифта (кегль) – 12;</w:t>
      </w:r>
    </w:p>
    <w:p>
      <w:pPr>
        <w:numPr>
          <w:ilvl w:val="0"/>
          <w:numId w:val="17"/>
        </w:numPr>
      </w:pPr>
      <w:r>
        <w:rPr/>
        <w:t xml:space="preserve">интервал – 1,5;</w:t>
      </w:r>
    </w:p>
    <w:p>
      <w:pPr>
        <w:numPr>
          <w:ilvl w:val="0"/>
          <w:numId w:val="17"/>
        </w:numPr>
      </w:pPr>
      <w:r>
        <w:rPr/>
        <w:t xml:space="preserve">верхнее и нижнее поля – 20 мм, левое – 30 мм, правое – 10 мм.</w:t>
      </w:r>
    </w:p>
    <w:p>
      <w:pPr/>
      <w:r>
        <w:rPr/>
        <w:t xml:space="preserve">Заголовки разделов и оглавление печатаются шрифтом Times New Roman, размер шрифта 14.</w:t>
      </w:r>
    </w:p>
    <w:p>
      <w:pPr/>
      <w:r>
        <w:rPr/>
        <w:t xml:space="preserve">Все страницы работы должны быть пронумерованы арабскими цифрами сквозной нумерацией по всему тексту, включая приложения. Титульный лист (Приложение 3) включается в общую нумерацию страниц, но на нем номер страницы не проставляется.</w:t>
      </w:r>
    </w:p>
    <w:p>
      <w:pPr/>
      <w:r>
        <w:rPr/>
        <w:t xml:space="preserve">Главы, параграфы, пункты (кроме введения, заключения и списка использованной литературы) нумеруются арабскими цифрами (например, глава 1, параграф 1.1, пункт 1.1.1).</w:t>
      </w:r>
    </w:p>
    <w:p>
      <w:pPr/>
      <w:r>
        <w:rPr/>
        <w:t xml:space="preserve">Заголовки глав, слова </w:t>
      </w:r>
      <w:r>
        <w:rPr>
          <w:i w:val="1"/>
          <w:iCs w:val="1"/>
        </w:rPr>
        <w:t xml:space="preserve">Введение, Заключение, Список литературы, Приложения </w:t>
      </w:r>
      <w:r>
        <w:rPr/>
        <w:t xml:space="preserve">пишутся без кавычек, без точки в конце и выравниваются посередине страницы. Перенос слов в заголовках не допускается.</w:t>
      </w:r>
    </w:p>
    <w:p>
      <w:pPr/>
      <w:r>
        <w:rPr/>
        <w:t xml:space="preserve">Каждая глава, оглавление (Приложение 4), введение, заключение, список использованной литературы, каждое приложение начинаются с новой страницы.</w:t>
      </w:r>
    </w:p>
    <w:p>
      <w:pPr/>
      <w:r>
        <w:rPr/>
        <w:t xml:space="preserve">Графики, схемы, диаграммы располагаются в работе непосредственно после текста, имеющего на них ссылку (выравнивание по центру страницы). Название графиков, схем, диаграмм помещается под ними, пишется без кавычек и содержит сокращенное слово </w:t>
      </w:r>
      <w:r>
        <w:rPr>
          <w:i w:val="1"/>
          <w:iCs w:val="1"/>
        </w:rPr>
        <w:t xml:space="preserve">Рис. </w:t>
      </w:r>
      <w:r>
        <w:rPr/>
        <w:t xml:space="preserve">без кавычек и указание на порядковый номер рисунка, без знака </w:t>
      </w:r>
      <w:r>
        <w:rPr>
          <w:i w:val="1"/>
          <w:iCs w:val="1"/>
        </w:rPr>
        <w:t xml:space="preserve">№</w:t>
      </w:r>
      <w:r>
        <w:rPr/>
        <w:t xml:space="preserve">, например: </w:t>
      </w:r>
      <w:r>
        <w:rPr>
          <w:i w:val="1"/>
          <w:iCs w:val="1"/>
        </w:rPr>
        <w:t xml:space="preserve">Рис. 1. Название рисунка</w:t>
      </w:r>
      <w:r>
        <w:rPr/>
        <w:t xml:space="preserve">. При построении графиков по осям координат вводятся соответствующие показатели, буквенные обозначения которых выносятся на концы координатных осей, фиксируемые стрелками.</w:t>
      </w:r>
    </w:p>
    <w:p>
      <w:pPr/>
      <w:r>
        <w:rPr/>
        <w:t xml:space="preserve">Таблицы располагаются в работе непосредственно после текста, имеющего на них ссылку (выравнивание по центру страницы). Таблицы должны иметь содержательное название, отличаться компактностью и единообразием построения. Все таблицы нумеруются арабскими цифрами сквозной нумерацией в пределах всей работы, при этом слово </w:t>
      </w:r>
      <w:r>
        <w:rPr>
          <w:i w:val="1"/>
          <w:iCs w:val="1"/>
        </w:rPr>
        <w:t xml:space="preserve">Таблица </w:t>
      </w:r>
      <w:r>
        <w:rPr/>
        <w:t xml:space="preserve">(сокращать нельзя) и порядковая цифра (без знака №) пишутся в правом верхнем углу; ниже, посередине строки, размещается название таблицы строчными буквами, но с заглавной и еще ниже – сама таблица. В тексте слово </w:t>
      </w:r>
      <w:r>
        <w:rPr>
          <w:i w:val="1"/>
          <w:iCs w:val="1"/>
        </w:rPr>
        <w:t xml:space="preserve">Таблица </w:t>
      </w:r>
      <w:r>
        <w:rPr/>
        <w:t xml:space="preserve">пишется сокращенно, например: “В табл. 2…”.</w:t>
      </w:r>
    </w:p>
    <w:p>
      <w:pPr/>
      <w:r>
        <w:rPr/>
        <w:t xml:space="preserve">Текст должен делиться на абзацы, которыми выделяются относительно обособленные по смыслу части. Каждый абзац начинается с красной строки, отступая 5 печатных знаков. Связь списка литературы с текстом осуществляется с помощью ссылок, для нумерации которых используются арабские цифры. Так, если студент ссылается на работу, представленную в списке использованной литературы под номером 5, то эта цифра должна ставиться и в тексте работы, она заключается в квадратные скобки, например: “Н. М. Хуусконен, Т. М. Глушанок [11] считают…”,  или “Согласно Б. В. Емельянову [8], ........”, или если источников несколько –“Исследованиями последних лет установлена … [10; 12; 15]”. Если приводится цитата, то указывается и номер страницы, с которой она взята, например: “Под влиянием ...........” [18, с. 55]. Цитата в КР заключается в кавычки. При этом в списке литературы приводится библиографическая запись только того источника, по которому осуществлялось цитирование.</w:t>
      </w:r>
    </w:p>
    <w:p>
      <w:pPr/>
      <w:r>
        <w:rPr/>
        <w:t xml:space="preserve">Приложения должны начинаться с новой страницы в порядке появления ссылок на них в тексте и иметь заголовок с указанием слова </w:t>
      </w:r>
      <w:r>
        <w:rPr>
          <w:i w:val="1"/>
          <w:iCs w:val="1"/>
        </w:rPr>
        <w:t xml:space="preserve">Приложение</w:t>
      </w:r>
      <w:r>
        <w:rPr/>
        <w:t xml:space="preserve">, его порядкового номера без знака </w:t>
      </w:r>
      <w:r>
        <w:rPr>
          <w:i w:val="1"/>
          <w:iCs w:val="1"/>
        </w:rPr>
        <w:t xml:space="preserve">№ </w:t>
      </w:r>
      <w:r>
        <w:rPr/>
        <w:t xml:space="preserve">и названия. Порядковые номера приложений должны соответствовать последовательности их упоминания в тексте.</w:t>
      </w:r>
    </w:p>
    <w:p>
      <w:pPr/>
      <w:r>
        <w:rPr/>
        <w:t xml:space="preserve">Использованная в тексте КР литература приводится в пронумерованном библиографическом списке в конце работы в алфавитном порядке. На все работы, включенные в список литературы, должны быть ссылки в тексте работы.</w:t>
      </w:r>
    </w:p>
    <w:p>
      <w:pPr/>
      <w:r>
        <w:rPr/>
        <w:t xml:space="preserve">Защита КР проводится на открытом заседании. Защита КР осуществляется по следующей схеме:</w:t>
      </w:r>
    </w:p>
    <w:p>
      <w:pPr>
        <w:numPr>
          <w:ilvl w:val="0"/>
          <w:numId w:val="18"/>
        </w:numPr>
      </w:pPr>
      <w:r>
        <w:rPr/>
        <w:t xml:space="preserve">Представление КР студентом (в сжатой форме обосновывает актуальность темы исследования, излагает основное содержание, результаты исследования и выводы, обосновывает практическую значимость исследования) – 7</w:t>
      </w:r>
      <w:r>
        <w:rPr>
          <w:i w:val="1"/>
          <w:iCs w:val="1"/>
        </w:rPr>
        <w:t xml:space="preserve"> мин.</w:t>
      </w:r>
    </w:p>
    <w:p>
      <w:pPr/>
      <w:r>
        <w:rPr/>
        <w:t xml:space="preserve">Доклад может строиться по следующему плану:</w:t>
      </w:r>
    </w:p>
    <w:p>
      <w:pPr>
        <w:numPr>
          <w:ilvl w:val="0"/>
          <w:numId w:val="19"/>
        </w:numPr>
      </w:pPr>
      <w:r>
        <w:rPr/>
        <w:t xml:space="preserve">краткое обоснование выбора темы: актуальность (теоретическая и практическая значимость);</w:t>
      </w:r>
    </w:p>
    <w:p>
      <w:pPr>
        <w:numPr>
          <w:ilvl w:val="0"/>
          <w:numId w:val="19"/>
        </w:numPr>
      </w:pPr>
      <w:r>
        <w:rPr/>
        <w:t xml:space="preserve">постановка задач;</w:t>
      </w:r>
    </w:p>
    <w:p>
      <w:pPr>
        <w:numPr>
          <w:ilvl w:val="0"/>
          <w:numId w:val="19"/>
        </w:numPr>
      </w:pPr>
      <w:r>
        <w:rPr/>
        <w:t xml:space="preserve">методы исследования;</w:t>
      </w:r>
    </w:p>
    <w:p>
      <w:pPr>
        <w:numPr>
          <w:ilvl w:val="0"/>
          <w:numId w:val="19"/>
        </w:numPr>
      </w:pPr>
      <w:r>
        <w:rPr/>
        <w:t xml:space="preserve">анализ теоретических и экспериментальных данных;</w:t>
      </w:r>
    </w:p>
    <w:p>
      <w:pPr>
        <w:numPr>
          <w:ilvl w:val="0"/>
          <w:numId w:val="19"/>
        </w:numPr>
      </w:pPr>
      <w:r>
        <w:rPr/>
        <w:t xml:space="preserve">выводы.</w:t>
      </w:r>
    </w:p>
    <w:p>
      <w:pPr>
        <w:numPr>
          <w:ilvl w:val="0"/>
          <w:numId w:val="20"/>
        </w:numPr>
      </w:pPr>
      <w:r>
        <w:rPr/>
        <w:t xml:space="preserve">Вопросы к докладчику – </w:t>
      </w:r>
      <w:r>
        <w:rPr>
          <w:i w:val="1"/>
          <w:iCs w:val="1"/>
        </w:rPr>
        <w:t xml:space="preserve">5 мин.</w:t>
      </w:r>
    </w:p>
    <w:p>
      <w:pPr/>
      <w:r>
        <w:rPr/>
        <w:t xml:space="preserve">Оценка курсовой работы происходит на основании следующих критериев:</w:t>
      </w:r>
    </w:p>
    <w:p>
      <w:pPr/>
      <w:r>
        <w:rPr/>
        <w:t xml:space="preserve">а)       соответствие названия работы ее содержанию;</w:t>
      </w:r>
    </w:p>
    <w:p>
      <w:pPr/>
      <w:r>
        <w:rPr/>
        <w:t xml:space="preserve">б)      логическая последовательность изложения материала;</w:t>
      </w:r>
    </w:p>
    <w:p>
      <w:pPr/>
      <w:r>
        <w:rPr/>
        <w:t xml:space="preserve">в)      корректное изложение материала с учетом принятой научной терминологии;</w:t>
      </w:r>
    </w:p>
    <w:p>
      <w:pPr/>
      <w:r>
        <w:rPr/>
        <w:t xml:space="preserve">г)       достоверность полученных результатов и обоснованность выводов;</w:t>
      </w:r>
    </w:p>
    <w:p>
      <w:pPr/>
      <w:r>
        <w:rPr/>
        <w:t xml:space="preserve">д)      научный стиль написания;</w:t>
      </w:r>
    </w:p>
    <w:p>
      <w:pPr/>
      <w:r>
        <w:rPr/>
        <w:t xml:space="preserve">е)    структурирование работы в соответствии с требованиями, предъявляемыми к работам данного вида;</w:t>
      </w:r>
    </w:p>
    <w:p>
      <w:pPr/>
      <w:r>
        <w:rPr/>
        <w:t xml:space="preserve">ж)   оформление работы в соответствии с установленными требованиями.</w:t>
      </w:r>
    </w:p>
    <w:p>
      <w:pPr/>
      <w:r>
        <w:rPr/>
        <w:t xml:space="preserve">Оценка за КР вносится в экзаменационную ведомость и зачетную книжку студента. Студенту, получившему оценку «</w:t>
      </w:r>
      <w:r>
        <w:rPr>
          <w:i w:val="1"/>
          <w:iCs w:val="1"/>
        </w:rPr>
        <w:t xml:space="preserve">неудовлетворительно</w:t>
      </w:r>
      <w:r>
        <w:rPr/>
        <w:t xml:space="preserve">», КР возвращается для устранения недостатков с последующей повторной защитой. Студенты, не выполнившие и не защитившие КР в установленные сроки, к экзаменам не допускаются.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Подготовка к промежуточной аттестации.</w:t>
      </w:r>
    </w:p>
    <w:p>
      <w:pPr/>
      <w:r>
        <w:rPr/>
        <w:t xml:space="preserve">Для успешной сдачи зачета (экзамена) следует соблюдать следующие правила:</w:t>
      </w:r>
    </w:p>
    <w:p>
      <w:pPr/>
      <w:r>
        <w:rPr/>
        <w:t xml:space="preserve">- подготовка должна быть системной в течение всего семестра;</w:t>
      </w:r>
    </w:p>
    <w:p>
      <w:pPr/>
      <w:r>
        <w:rPr/>
        <w:t xml:space="preserve"> Необходимо распределить вопросы таким образом, чтобы успеть  выучить или повторить их полностью до начала сессии;</w:t>
      </w:r>
    </w:p>
    <w:p>
      <w:pPr/>
      <w:r>
        <w:rPr/>
        <w:t xml:space="preserve">Три-четыре дня перед зачетом (экзаменом) использовать для повторения курса в целом, чтобы систематизировать материал и повторить вопросы.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i w:val="1"/>
          <w:iCs w:val="1"/>
        </w:rPr>
        <w:t xml:space="preserve">Текущий контроль успеваемости</w:t>
      </w:r>
      <w:r>
        <w:rPr/>
        <w:t xml:space="preserve"> представляет собой проверку усвоения учебного материала, регулярно осуществляемую на протяжении семестра. Текущий контроль знаний студентов включает следующие оценочные средства:</w:t>
      </w:r>
    </w:p>
    <w:p>
      <w:pPr/>
      <w:r>
        <w:rPr/>
        <w:t xml:space="preserve">-   устный опрос (групповой или индивидуальный);</w:t>
      </w:r>
    </w:p>
    <w:p>
      <w:pPr/>
      <w:r>
        <w:rPr/>
        <w:t xml:space="preserve">-   проверку выполнения письменных домашних заданий;</w:t>
      </w:r>
    </w:p>
    <w:p>
      <w:pPr/>
      <w:r>
        <w:rPr/>
        <w:t xml:space="preserve">-   тестирование (письменное или компьютерное);</w:t>
      </w:r>
    </w:p>
    <w:p>
      <w:pPr/>
      <w:r>
        <w:rPr/>
        <w:t xml:space="preserve">-   проведение коллоквиумов (в письменной или устной форме);</w:t>
      </w:r>
    </w:p>
    <w:p>
      <w:pPr/>
      <w:r>
        <w:rPr/>
        <w:t xml:space="preserve">-   контроль самостоятельной работы студентов (в письменной или устной форме).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Промежуточная аттестация</w:t>
      </w:r>
      <w:r>
        <w:rPr/>
        <w:t xml:space="preserve"> осуществляется в форме курсовой работы и  экзамена и завершает изучение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1"/>
        </w:numPr>
      </w:pPr>
      <w:r>
        <w:rPr/>
        <w:t xml:space="preserve"> </w:t>
      </w:r>
      <w:r>
        <w:rPr/>
        <w:t xml:space="preserve">Биржаков М. Б. Введение в туризм. – М-СПб.: «Издательский дом ГЕРДА», НП «Издательство «Невский Фонд», 2014. – 544 с.</w:t>
      </w:r>
    </w:p>
    <w:p>
      <w:pPr>
        <w:numPr>
          <w:ilvl w:val="0"/>
          <w:numId w:val="21"/>
        </w:numPr>
      </w:pPr>
      <w:r>
        <w:rPr/>
        <w:t xml:space="preserve">Бугорский, В. П. Организация туристской индустрии. Правовые основы : учебное пособие для среднего профессионального образования / В. П. Бугорский. – Москва : Издательство Юрайт, 2021. – 165 с.</w:t>
      </w:r>
    </w:p>
    <w:p>
      <w:pPr>
        <w:numPr>
          <w:ilvl w:val="0"/>
          <w:numId w:val="21"/>
        </w:numPr>
      </w:pPr>
      <w:r>
        <w:rPr/>
        <w:t xml:space="preserve">Дурович, А. П. Организация туризма : учебное пособие / А. П. Дурович. – Минск : РИПО, 2020. – 295 с.</w:t>
      </w:r>
    </w:p>
    <w:p>
      <w:pPr>
        <w:numPr>
          <w:ilvl w:val="0"/>
          <w:numId w:val="21"/>
        </w:numPr>
      </w:pPr>
      <w:r>
        <w:rPr/>
        <w:t xml:space="preserve"> </w:t>
      </w:r>
      <w:r>
        <w:rPr/>
        <w:t xml:space="preserve">Основы туризма: учебник для обучения студентов вузов по направлениям подготовки "Туризм", "Гостиничное дело", "Сервис" / [Е. Н. Трофимов [и др.] ; под ред. Е. Л. Писаревского. - Москва, 2014. - 374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2"/>
        </w:numPr>
      </w:pPr>
      <w:r>
        <w:rPr/>
        <w:t xml:space="preserve">Игнатьева, И. Ф. Организация туристской деятельности : учебник для вузов / И. Ф. Игнатьева. – 2-е изд., перераб. и доп. – Москва : Издательство Юрайт, 2021. – 392 с.</w:t>
      </w:r>
    </w:p>
    <w:p>
      <w:pPr>
        <w:numPr>
          <w:ilvl w:val="0"/>
          <w:numId w:val="22"/>
        </w:numPr>
      </w:pPr>
      <w:r>
        <w:rPr/>
        <w:t xml:space="preserve">Истомина, Э. Г. Внутренний туризм и туристские ресурсы России : учебное пособие / Э. Г. Истомина, М. Г. Гришунькина ; Рос. гос. гуманитары, ун-т. – 2-е изд., испр. и доп. — Москва : Рос. гос. гуманитары, ун-т, 2019. — 288 с.</w:t>
      </w:r>
    </w:p>
    <w:p>
      <w:pPr>
        <w:numPr>
          <w:ilvl w:val="0"/>
          <w:numId w:val="22"/>
        </w:numPr>
      </w:pPr>
      <w:r>
        <w:rPr/>
        <w:t xml:space="preserve">Основы туризма: учебник / коллектив авторов под ред. Е. Л. Писаревского. – М.: Федеральное агентство по туризму, 2014. – 384 с.</w:t>
      </w:r>
    </w:p>
    <w:p>
      <w:pPr>
        <w:numPr>
          <w:ilvl w:val="0"/>
          <w:numId w:val="22"/>
        </w:numPr>
      </w:pPr>
      <w:r>
        <w:rPr/>
        <w:t xml:space="preserve">Остроумов, О. В. Туризм. Продвижение российского турпродукта: возможности и реальность : учебно-методическое пособие / О. В. Остроумов ; под. ред. Ю. С. Путрика. — Москва : Финансы и Статистика, 2021. — 128 с.</w:t>
      </w:r>
    </w:p>
    <w:p>
      <w:pPr>
        <w:numPr>
          <w:ilvl w:val="0"/>
          <w:numId w:val="22"/>
        </w:numPr>
      </w:pPr>
      <w:r>
        <w:rPr/>
        <w:t xml:space="preserve">Плотникова В. С. Продвижение туристско-экскурсионного продукта: учебное пособие / В. С. Плотникова, Н. В. Колесникова; М-во образования и науки Рос. Федерации, Федер. гос. бюджет. образоват. учреждение высш. проф. образования «Петрозав. гос. ун-т». – Петрозаводск: Издательство ПетрГУ, 2015. – 60 с.</w:t>
      </w:r>
    </w:p>
    <w:p>
      <w:pPr>
        <w:numPr>
          <w:ilvl w:val="0"/>
          <w:numId w:val="22"/>
        </w:numPr>
      </w:pPr>
      <w:r>
        <w:rPr/>
        <w:t xml:space="preserve">Хуусконен Н. М. Программный туризм: учебное пособие по проектированию туров. – 2-е изд., перераб. / Н. М. Хуусконен; М-во науки и образования Рос. Федерации, федер. гос. бюджет. образоват. учреждение высш. проф. образования Петрозавод. гос. ун-т. – Петрозаводск: Издательство ПетрГУ, 2015. – 88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3"/>
        </w:numPr>
      </w:pPr>
      <w:r>
        <w:rPr/>
        <w:t xml:space="preserve">Официальный интернет-портал Республики Карелия «Карелия официальная» [Электронный ресурс] – Режим доступа. -http://www.gov.karelia.ru/Power/struct.html</w:t>
      </w:r>
    </w:p>
    <w:p>
      <w:pPr>
        <w:numPr>
          <w:ilvl w:val="0"/>
          <w:numId w:val="23"/>
        </w:numPr>
      </w:pPr>
      <w:r>
        <w:rPr/>
        <w:t xml:space="preserve">Сайт Российского Союза Туриндустрии (РСТ) [Электронный ресурс] – Режим доступа. -http:// www.rata.ru.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- Официальный сайт университета (</w:t>
      </w:r>
      <w:hyperlink r:id="rId7" w:history="1">
        <w:r>
          <w:rPr/>
          <w:t xml:space="preserve">https://petrsu.ru</w:t>
        </w:r>
      </w:hyperlink>
      <w:r>
        <w:rPr/>
        <w:t xml:space="preserve"> );</w:t>
      </w:r>
    </w:p>
    <w:p>
      <w:pPr/>
      <w:r>
        <w:rPr/>
        <w:t xml:space="preserve">- Информационно-Аналитическая Интегрированная Система управления вузом (ИАИС) (</w:t>
      </w:r>
      <w:hyperlink r:id="rId8" w:history="1">
        <w:r>
          <w:rPr/>
          <w:t xml:space="preserve">https://iias.petrsu.ru</w:t>
        </w:r>
      </w:hyperlink>
      <w:r>
        <w:rPr/>
        <w:t xml:space="preserve"> );</w:t>
      </w:r>
    </w:p>
    <w:p>
      <w:pPr/>
      <w:r>
        <w:rPr/>
        <w:t xml:space="preserve">- Образовательный портал ПетрГУ ()</w:t>
      </w:r>
      <w:hyperlink r:id="rId9" w:history="1">
        <w:r>
          <w:rPr/>
          <w:t xml:space="preserve">https://edu.petrsu.ru</w:t>
        </w:r>
      </w:hyperlink>
      <w:r>
        <w:rPr/>
        <w:t xml:space="preserve"> ;</w:t>
      </w:r>
    </w:p>
    <w:p>
      <w:pPr/>
      <w:r>
        <w:rPr/>
        <w:t xml:space="preserve">- Система электронной поддержки учебных курсов на базе программного обеспечения Moodle (</w:t>
      </w:r>
      <w:hyperlink r:id="rId10" w:history="1">
        <w:r>
          <w:rPr/>
          <w:t xml:space="preserve">https://moodle2.petrsu.ru</w:t>
        </w:r>
      </w:hyperlink>
      <w:r>
        <w:rPr/>
        <w:t xml:space="preserve"> ), WebCT (</w:t>
      </w:r>
      <w:hyperlink r:id="rId11" w:history="1">
        <w:r>
          <w:rPr/>
          <w:t xml:space="preserve">https://webct.ru</w:t>
        </w:r>
      </w:hyperlink>
      <w:r>
        <w:rPr/>
        <w:t xml:space="preserve"> ), Blackboard (</w:t>
      </w:r>
      <w:hyperlink r:id="rId12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13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- Электронные портфолио обучающихся ПетрГУ (</w:t>
      </w:r>
      <w:hyperlink r:id="rId14" w:history="1">
        <w:r>
          <w:rPr/>
          <w:t xml:space="preserve">https://portfolio.petrsu.ru</w:t>
        </w:r>
      </w:hyperlink>
      <w:r>
        <w:rPr/>
        <w:t xml:space="preserve"> );</w:t>
      </w:r>
    </w:p>
    <w:p>
      <w:pPr/>
      <w:r>
        <w:rPr/>
        <w:t xml:space="preserve">- Научная библиотека ПетрГУ (</w:t>
      </w:r>
      <w:hyperlink r:id="rId15" w:history="1">
        <w:r>
          <w:rPr/>
          <w:t xml:space="preserve">https://library.petrsu.ru</w:t>
        </w:r>
      </w:hyperlink>
      <w:r>
        <w:rPr/>
        <w:t xml:space="preserve"> ) и электронный каталог «Фолиант» (</w:t>
      </w:r>
      <w:hyperlink r:id="rId16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- Электронная библиотека Республики Карелия (</w:t>
      </w:r>
      <w:hyperlink r:id="rId17" w:history="1">
        <w:r>
          <w:rPr/>
          <w:t xml:space="preserve">https://elibrary.karelia.ru</w:t>
        </w:r>
      </w:hyperlink>
      <w:r>
        <w:rPr/>
        <w:t xml:space="preserve"> );</w:t>
      </w:r>
    </w:p>
    <w:p>
      <w:pPr/>
      <w:r>
        <w:rPr/>
        <w:t xml:space="preserve">- Электронные научные журналы ПетрГУ (</w:t>
      </w:r>
      <w:hyperlink r:id="rId18" w:history="1">
        <w:r>
          <w:rPr/>
          <w:t xml:space="preserve">https://petrsu.ru/page/science/journals</w:t>
        </w:r>
      </w:hyperlink>
      <w:r>
        <w:rPr/>
        <w:t xml:space="preserve"> );</w:t>
      </w:r>
    </w:p>
    <w:p>
      <w:pPr/>
      <w:r>
        <w:rPr/>
        <w:t xml:space="preserve">- Корпоративная сеть ПетрГУ, включая беспроводной сегмент, и корпоративная почта;</w:t>
      </w:r>
    </w:p>
    <w:p>
      <w:pPr/>
      <w:r>
        <w:rPr/>
        <w:t xml:space="preserve">- Системы видеоконференцсвязи (TrueConf, Zoom (</w:t>
      </w:r>
      <w:hyperlink r:id="rId19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- Официальные сообщества университета в социальных сетях («Вконтакте» (</w:t>
      </w:r>
      <w:hyperlink r:id="rId20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1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2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23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- Внешние электронные библиотечные системы («Университетская библиотека онлайн» (</w:t>
      </w:r>
      <w:hyperlink r:id="rId24" w:history="1">
        <w:r>
          <w:rPr/>
          <w:t xml:space="preserve">https://www.biblioclub.ru</w:t>
        </w:r>
      </w:hyperlink>
      <w:r>
        <w:rPr/>
        <w:t xml:space="preserve"> ), Издательств «Лань» (</w:t>
      </w:r>
      <w:hyperlink r:id="rId25" w:history="1">
        <w:r>
          <w:rPr/>
          <w:t xml:space="preserve">https://e.lanbook.com</w:t>
        </w:r>
      </w:hyperlink>
      <w:r>
        <w:rPr/>
        <w:t xml:space="preserve"> ), «Консультант студента. Студенческая электронная библиотека» </w:t>
      </w:r>
      <w:hyperlink r:id="rId26" w:history="1">
        <w:r>
          <w:rPr/>
          <w:t xml:space="preserve">https://www.studentlibrary.ru</w:t>
        </w:r>
      </w:hyperlink>
      <w:r>
        <w:rPr/>
        <w:t xml:space="preserve"> ),  «Консультант врача: электронная медицинская библиотека» (</w:t>
      </w:r>
      <w:hyperlink r:id="rId27" w:history="1">
        <w:r>
          <w:rPr/>
          <w:t xml:space="preserve">https://www.rosmedlib.ru</w:t>
        </w:r>
      </w:hyperlink>
      <w:r>
        <w:rPr/>
        <w:t xml:space="preserve"> ));</w:t>
      </w:r>
    </w:p>
    <w:p>
      <w:pPr/>
      <w:r>
        <w:rPr/>
        <w:t xml:space="preserve">- Внешние образовательные платформы ("Юрайт" (</w:t>
      </w:r>
      <w:hyperlink r:id="rId28" w:history="1">
        <w:r>
          <w:rPr/>
          <w:t xml:space="preserve">https://urait.ru/</w:t>
        </w:r>
      </w:hyperlink>
      <w:r>
        <w:rPr/>
        <w:t xml:space="preserve"> ), E-nano (</w:t>
      </w:r>
      <w:hyperlink r:id="rId29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- Система «Антиплагиат.ВУЗ» (</w:t>
      </w:r>
      <w:hyperlink r:id="rId30" w:history="1">
        <w:r>
          <w:rPr/>
          <w:t xml:space="preserve">https://petrsu.antiplagiat.ru</w:t>
        </w:r>
      </w:hyperlink>
      <w:r>
        <w:rPr/>
        <w:t xml:space="preserve"> );</w:t>
      </w:r>
    </w:p>
    <w:p>
      <w:pPr/>
      <w:r>
        <w:rPr/>
        <w:t xml:space="preserve">-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3F2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79A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2EF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18A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2FC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FE7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909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8E6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B9F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E9B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B13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31F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227E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473C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4575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0F10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8531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0018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58B8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1204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0200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ABC8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4120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7DAB4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s://iias.petrsu.ru" TargetMode="External"/><Relationship Id="rId9" Type="http://schemas.openxmlformats.org/officeDocument/2006/relationships/hyperlink" Target="https://edu.petrsu.ru" TargetMode="External"/><Relationship Id="rId10" Type="http://schemas.openxmlformats.org/officeDocument/2006/relationships/hyperlink" Target="https://moodle2.petrsu.ru" TargetMode="External"/><Relationship Id="rId11" Type="http://schemas.openxmlformats.org/officeDocument/2006/relationships/hyperlink" Target="https://webct.ru" TargetMode="External"/><Relationship Id="rId12" Type="http://schemas.openxmlformats.org/officeDocument/2006/relationships/hyperlink" Target="https://blackboard.petrsu.ru" TargetMode="External"/><Relationship Id="rId13" Type="http://schemas.openxmlformats.org/officeDocument/2006/relationships/hyperlink" Target="https://WebTutor.petrsu.ru" TargetMode="External"/><Relationship Id="rId14" Type="http://schemas.openxmlformats.org/officeDocument/2006/relationships/hyperlink" Target="https://portfolio.petrsu.ru" TargetMode="External"/><Relationship Id="rId15" Type="http://schemas.openxmlformats.org/officeDocument/2006/relationships/hyperlink" Target="https://library.petrsu.ru" TargetMode="External"/><Relationship Id="rId16" Type="http://schemas.openxmlformats.org/officeDocument/2006/relationships/hyperlink" Target="https://foliant.ru/catalog/psulibr" TargetMode="External"/><Relationship Id="rId17" Type="http://schemas.openxmlformats.org/officeDocument/2006/relationships/hyperlink" Target="https://elibrary.karelia.ru" TargetMode="External"/><Relationship Id="rId18" Type="http://schemas.openxmlformats.org/officeDocument/2006/relationships/hyperlink" Target="/page/science/journals" TargetMode="External"/><Relationship Id="rId19" Type="http://schemas.openxmlformats.org/officeDocument/2006/relationships/hyperlink" Target="https://zoom.us/" TargetMode="External"/><Relationship Id="rId20" Type="http://schemas.openxmlformats.org/officeDocument/2006/relationships/hyperlink" Target="https://vk.com/petrsu_ru" TargetMode="External"/><Relationship Id="rId21" Type="http://schemas.openxmlformats.org/officeDocument/2006/relationships/hyperlink" Target="https://www.facebook.com/petrsunews" TargetMode="External"/><Relationship Id="rId22" Type="http://schemas.openxmlformats.org/officeDocument/2006/relationships/hyperlink" Target="https://twitter.com/PetrSU_news" TargetMode="External"/><Relationship Id="rId23" Type="http://schemas.openxmlformats.org/officeDocument/2006/relationships/hyperlink" Target="https://www.youtube.com/channel/UCF6X8SpjmB8v2X6KGZBJNwA" TargetMode="External"/><Relationship Id="rId24" Type="http://schemas.openxmlformats.org/officeDocument/2006/relationships/hyperlink" Target="https://www.biblioclub.ru" TargetMode="External"/><Relationship Id="rId25" Type="http://schemas.openxmlformats.org/officeDocument/2006/relationships/hyperlink" Target="https://e.lanbook.com" TargetMode="External"/><Relationship Id="rId26" Type="http://schemas.openxmlformats.org/officeDocument/2006/relationships/hyperlink" Target="https://www.studentlibrary.ru" TargetMode="External"/><Relationship Id="rId27" Type="http://schemas.openxmlformats.org/officeDocument/2006/relationships/hyperlink" Target="https://www.rosmedlib.ru" TargetMode="External"/><Relationship Id="rId28" Type="http://schemas.openxmlformats.org/officeDocument/2006/relationships/hyperlink" Target="https://urait.ru/" TargetMode="External"/><Relationship Id="rId29" Type="http://schemas.openxmlformats.org/officeDocument/2006/relationships/hyperlink" Target="https://edunano.ru/" TargetMode="External"/><Relationship Id="rId30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2026-04-23T20:44:15+03:00</dcterms:created>
  <dcterms:modified xsi:type="dcterms:W3CDTF">2026-04-23T20:44:15+03:00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