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 Европы,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 Азии,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 Африки,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 Северной и Южной Америки,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Австралии и стран Океании,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Северной и Южной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терминология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страны по выбору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Политическаякартамира.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Политическаятипологиястранмира.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5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5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6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6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6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/>
      <w:r>
        <w:rPr/>
        <w:t xml:space="preserve">Севастьянов, Д. В. Основы страноведения и международного туризма : учебное пособие для студентов вузов. — Москва : Академия, 2008. — 256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(21.04.2016).</w:t>
      </w:r>
    </w:p>
    <w:p>
      <w:pPr/>
      <w:r>
        <w:rPr/>
        <w:t xml:space="preserve">Все о туризме: туристическая библиотека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(21.04.2016).</w:t>
      </w:r>
    </w:p>
    <w:p>
      <w:pPr/>
      <w:r>
        <w:rPr/>
        <w:t xml:space="preserve">Туристическое страноведение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http://countrystudies.ru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2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3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4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9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AB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5BC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CE6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D7A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3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E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9E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untrystudies.ru" TargetMode="External"/><Relationship Id="rId8" Type="http://schemas.openxmlformats.org/officeDocument/2006/relationships/hyperlink" Target="http://tourlib.net/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2026-04-23T18:59:29+03:00</dcterms:created>
  <dcterms:modified xsi:type="dcterms:W3CDTF">2026-04-23T18:59:29+03:00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