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ГОСУДАРСТВЕННЫЕ ИНСТИТУТЫ РАЗВИТИЯ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38.03.04 Государственное и муниципальное управление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г. N 1016 (с изменениями от 27.02.2023 г. №208, от 19.07.2022 №662, от 26.11.2020 №1456) и учебным планом по направлению подготовки бакалавриата 38.03.04 Государственное и муниципальное управление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Толстогузов Олег Викторович, доцент, кафедра экономики, управления производством и государственного и муниципального управления, доктор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Обеспечивает приоритет прав и свобод человека </w:t>
            </w:r>
          </w:p>
          <w:p/>
          <w:p>
            <w:pPr/>
            <w:r>
              <w:rPr/>
              <w:t xml:space="preserve">ОПК-1.2. Соблюдает нормы законодательства Российской Федерации в своей профессиональной деятельности</w:t>
            </w:r>
          </w:p>
          <w:p/>
          <w:p>
            <w:pPr/>
            <w:r>
              <w:rPr/>
              <w:t xml:space="preserve">ОПК-1.3. Руководствуется служебной этикой в своей профессиональной деятельности 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внутриорганизационные и межведомственные коммуникации, обеспечивать взаимодействие органов власти с гражданами, коммерческими организациями, институтами гражданского общества, средствами массовой информации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Осуществляет внутриорганизационные и межведомственные коммуникации</w:t>
            </w:r>
          </w:p>
          <w:p/>
          <w:p>
            <w:pPr/>
            <w:r>
              <w:rPr/>
              <w:t xml:space="preserve">ОПК-7.2. Обеспечивает взаимодействие органов власти с гражданами, коммерческими организациями, институтами гражданского общества, средствами массовой информации.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Государственные институты развития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ГОСУДАРСТВЕННЫЕ ИНСТИТУТЫ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Институты и институции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Фирма и рынок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Институты и институции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Фирма и рынок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Институты и институции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Фирма и рынок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Освоение учебной дисциплины предполагает использование как традиционных, так и новых информационных образовательных технологий, а также требует рационального их сочетания. Традиционные образовательные технологии подразумевают использование в учебном процессе таких методов работы, как лекция, практическое занятие, консультация, самостоятельная внеаудиторная работа обучающихся. Использование новых информационных технологий сводится к использованию электронных образовательных ресурсов: учебных и учебно-методических пособий, дистанционного курса; ресурсов Интернет; электронной почты.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изучаемой дисциплины в учебном процессе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лекции с использованием презентаций;</w:t>
      </w:r>
    </w:p>
    <w:p>
      <w:pPr>
        <w:numPr>
          <w:ilvl w:val="0"/>
          <w:numId w:val="1"/>
        </w:numPr>
      </w:pPr>
      <w:r>
        <w:rPr/>
        <w:t xml:space="preserve">лекции с использованием дистанционного курса;</w:t>
      </w:r>
    </w:p>
    <w:p>
      <w:pPr>
        <w:numPr>
          <w:ilvl w:val="0"/>
          <w:numId w:val="1"/>
        </w:numPr>
      </w:pPr>
      <w:r>
        <w:rPr/>
        <w:t xml:space="preserve">практические занятия в форме семинара;</w:t>
      </w:r>
    </w:p>
    <w:p>
      <w:pPr>
        <w:numPr>
          <w:ilvl w:val="0"/>
          <w:numId w:val="1"/>
        </w:numPr>
      </w:pPr>
      <w:r>
        <w:rPr/>
        <w:t xml:space="preserve">практические занятия в форме выполнения расчетно-аналитических работ;</w:t>
      </w:r>
    </w:p>
    <w:p>
      <w:pPr>
        <w:numPr>
          <w:ilvl w:val="0"/>
          <w:numId w:val="1"/>
        </w:numPr>
      </w:pPr>
      <w:r>
        <w:rPr/>
        <w:t xml:space="preserve">тестовые задания с использованием Дистанционного курса;</w:t>
      </w:r>
    </w:p>
    <w:p>
      <w:pPr>
        <w:numPr>
          <w:ilvl w:val="0"/>
          <w:numId w:val="1"/>
        </w:numPr>
      </w:pPr>
      <w:r>
        <w:rPr/>
        <w:t xml:space="preserve">консультации групповые и индивидуальные, в том числе по электронной почте.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</w:t>
      </w:r>
    </w:p>
    <w:p>
      <w:pPr>
        <w:numPr>
          <w:ilvl w:val="0"/>
          <w:numId w:val="2"/>
        </w:numPr>
      </w:pPr>
      <w:r>
        <w:rPr/>
        <w:t xml:space="preserve">Выберите наиболее точное определение инвестиции.</w:t>
      </w:r>
    </w:p>
    <w:p>
      <w:pPr/>
      <w:r>
        <w:rPr/>
        <w:t xml:space="preserve">А. Вложение финансовых средств в различные виды экономической деятельности с целью сохранения и увеличения капитала</w:t>
      </w:r>
    </w:p>
    <w:p>
      <w:pPr/>
      <w:r>
        <w:rPr/>
        <w:t xml:space="preserve">Б. Приобретение ценных бумаг</w:t>
      </w:r>
    </w:p>
    <w:p>
      <w:pPr/>
      <w:r>
        <w:rPr/>
        <w:t xml:space="preserve">В. Вложение денег на депозитные счета в банках</w:t>
      </w:r>
    </w:p>
    <w:p>
      <w:pPr>
        <w:numPr>
          <w:ilvl w:val="0"/>
          <w:numId w:val="3"/>
        </w:numPr>
      </w:pPr>
      <w:r>
        <w:rPr/>
        <w:t xml:space="preserve">Какие инвестиции называются реальными (прямыми)?</w:t>
      </w:r>
    </w:p>
    <w:p>
      <w:pPr/>
      <w:r>
        <w:rPr/>
        <w:t xml:space="preserve">А. Осуществляемые за счет собственных средств</w:t>
      </w:r>
    </w:p>
    <w:p>
      <w:pPr/>
      <w:r>
        <w:rPr/>
        <w:t xml:space="preserve">Б. Вложение финансовых средств в физический капитал предприятия (средства производства)</w:t>
      </w:r>
    </w:p>
    <w:p>
      <w:pPr/>
      <w:r>
        <w:rPr/>
        <w:t xml:space="preserve">В. Капиталовложения в объекты недвижимости</w:t>
      </w:r>
    </w:p>
    <w:p>
      <w:pPr>
        <w:numPr>
          <w:ilvl w:val="0"/>
          <w:numId w:val="4"/>
        </w:numPr>
      </w:pPr>
      <w:r>
        <w:rPr/>
        <w:t xml:space="preserve">Какие инвестиции называются портфельными?</w:t>
      </w:r>
    </w:p>
    <w:p>
      <w:pPr/>
      <w:r>
        <w:rPr/>
        <w:t xml:space="preserve">А. Осуществленные за счет заемных средств</w:t>
      </w:r>
    </w:p>
    <w:p>
      <w:pPr/>
      <w:r>
        <w:rPr/>
        <w:t xml:space="preserve">Б. Вложения капитала на расширение портфеля заказов</w:t>
      </w:r>
    </w:p>
    <w:p>
      <w:pPr/>
      <w:r>
        <w:rPr/>
        <w:t xml:space="preserve">В. Вложения финансовых средств в портфель ценных бумаг и других активов на фондовом рынке</w:t>
      </w:r>
    </w:p>
    <w:p>
      <w:pPr>
        <w:numPr>
          <w:ilvl w:val="0"/>
          <w:numId w:val="5"/>
        </w:numPr>
      </w:pPr>
      <w:r>
        <w:rPr/>
        <w:t xml:space="preserve">Чем обусловлена необходимость оценки эффективности инвестиционных проектов?</w:t>
      </w:r>
    </w:p>
    <w:p>
      <w:pPr/>
      <w:r>
        <w:rPr/>
        <w:t xml:space="preserve">А. Определением необходимого объема инвестиционного капитала</w:t>
      </w:r>
    </w:p>
    <w:p>
      <w:pPr/>
      <w:r>
        <w:rPr/>
        <w:t xml:space="preserve">Б. Определением экономической целесообразности вложения капитала и сравнением альтернативных вариантов инвестиционных проектов</w:t>
      </w:r>
    </w:p>
    <w:p>
      <w:pPr/>
      <w:r>
        <w:rPr/>
        <w:t xml:space="preserve">В. Рекламой бизнес-плана</w:t>
      </w:r>
    </w:p>
    <w:p>
      <w:pPr>
        <w:numPr>
          <w:ilvl w:val="0"/>
          <w:numId w:val="6"/>
        </w:numPr>
      </w:pPr>
      <w:r>
        <w:rPr/>
        <w:t xml:space="preserve">В чем суть метода дисконтирования?</w:t>
      </w:r>
    </w:p>
    <w:p>
      <w:pPr/>
      <w:r>
        <w:rPr/>
        <w:t xml:space="preserve">А. Получение скидки (дисконта) при кредитовании инвестиционного проекта</w:t>
      </w:r>
    </w:p>
    <w:p>
      <w:pPr/>
      <w:r>
        <w:rPr/>
        <w:t xml:space="preserve">Б. Расчетное уменьшение дохода от инвестиционного проекта на величину инфляции</w:t>
      </w:r>
    </w:p>
    <w:p>
      <w:pPr/>
      <w:r>
        <w:rPr/>
        <w:t xml:space="preserve">В. Приведение разновременных доходов и расходов к единому моменту времени</w:t>
      </w:r>
    </w:p>
    <w:p>
      <w:pPr>
        <w:numPr>
          <w:ilvl w:val="0"/>
          <w:numId w:val="7"/>
        </w:numPr>
      </w:pPr>
      <w:r>
        <w:rPr/>
        <w:t xml:space="preserve">Что такое рентабельность проекта?</w:t>
      </w:r>
    </w:p>
    <w:p>
      <w:pPr/>
      <w:r>
        <w:rPr/>
        <w:t xml:space="preserve">А. Разность между денежными поступлениями от реализации проекта и инвестиционными расходами</w:t>
      </w:r>
    </w:p>
    <w:p>
      <w:pPr/>
      <w:r>
        <w:rPr/>
        <w:t xml:space="preserve">Б. Отношение инвестиционных расходов к предполагаемой прибыли от реализации проекта</w:t>
      </w:r>
    </w:p>
    <w:p>
      <w:pPr/>
      <w:r>
        <w:rPr/>
        <w:t xml:space="preserve">В. Отношение прибыли от реализации проекта к инвестиционным расходам</w:t>
      </w:r>
    </w:p>
    <w:p>
      <w:pPr>
        <w:numPr>
          <w:ilvl w:val="0"/>
          <w:numId w:val="8"/>
        </w:numPr>
      </w:pPr>
      <w:r>
        <w:rPr/>
        <w:t xml:space="preserve">Что такое окупаемость проекта?</w:t>
      </w:r>
    </w:p>
    <w:p>
      <w:pPr/>
      <w:r>
        <w:rPr/>
        <w:t xml:space="preserve">А. Период времени, за который ожидается расходование всех инвестиционных ресурсов</w:t>
      </w:r>
    </w:p>
    <w:p>
      <w:pPr/>
      <w:r>
        <w:rPr/>
        <w:t xml:space="preserve">Б. Период времени, за который получены доходы, превышающие вложенные средства</w:t>
      </w:r>
    </w:p>
    <w:p>
      <w:pPr>
        <w:numPr>
          <w:ilvl w:val="0"/>
          <w:numId w:val="9"/>
        </w:numPr>
      </w:pPr>
      <w:r>
        <w:rPr/>
        <w:t xml:space="preserve">Что представляет собой себестоимость, или издержки производства?</w:t>
      </w:r>
    </w:p>
    <w:p>
      <w:pPr/>
      <w:r>
        <w:rPr/>
        <w:t xml:space="preserve">А. Расходы, непосредственно связанные с производством</w:t>
      </w:r>
    </w:p>
    <w:p>
      <w:pPr/>
      <w:r>
        <w:rPr/>
        <w:t xml:space="preserve">Б. Затраты на подготовку производства</w:t>
      </w:r>
    </w:p>
    <w:p>
      <w:pPr/>
      <w:r>
        <w:rPr/>
        <w:t xml:space="preserve">В. Суммарные затраты на производство и реализацию продукции, выраженные в денежной форме</w:t>
      </w:r>
    </w:p>
    <w:p>
      <w:pPr/>
      <w:r>
        <w:rPr/>
        <w:t xml:space="preserve">Г. Затраты, связанные с совершенствованием продукции, повышением квалификации работников</w:t>
      </w:r>
    </w:p>
    <w:p>
      <w:pPr>
        <w:numPr>
          <w:ilvl w:val="0"/>
          <w:numId w:val="10"/>
        </w:numPr>
      </w:pPr>
      <w:r>
        <w:rPr/>
        <w:t xml:space="preserve">Какие затраты всегда изменяются в расчете на единицу продукции при изменении объема производства?</w:t>
      </w:r>
    </w:p>
    <w:p>
      <w:pPr/>
      <w:r>
        <w:rPr/>
        <w:t xml:space="preserve">А. Постоянные</w:t>
      </w:r>
    </w:p>
    <w:p>
      <w:pPr/>
      <w:r>
        <w:rPr/>
        <w:t xml:space="preserve">Б. Переменные</w:t>
      </w:r>
    </w:p>
    <w:p>
      <w:pPr>
        <w:numPr>
          <w:ilvl w:val="0"/>
          <w:numId w:val="11"/>
        </w:numPr>
      </w:pPr>
      <w:r>
        <w:rPr/>
        <w:t xml:space="preserve">Какие расходы не относятся к переменным расходам?</w:t>
      </w:r>
    </w:p>
    <w:p>
      <w:pPr/>
      <w:r>
        <w:rPr/>
        <w:t xml:space="preserve">А. Затраты на сырье и основные материалы</w:t>
      </w:r>
    </w:p>
    <w:p>
      <w:pPr/>
      <w:r>
        <w:rPr/>
        <w:t xml:space="preserve">Б. Основная заработная плата производственных рабочих</w:t>
      </w:r>
    </w:p>
    <w:p>
      <w:pPr/>
      <w:r>
        <w:rPr/>
        <w:t xml:space="preserve">В. Расходы по подготовке производства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¨Метод SWOT-анализа обычно применяется для сопоставления данных анализа внутренней и внешней среды организации и сведения их в единое целое, что позволяет получить общую картину действительности</w:t>
      </w:r>
    </w:p>
    <w:p>
      <w:pPr/>
      <w:r>
        <w:rPr/>
        <w:t xml:space="preserve">¨Для проведения SWOT-анализа составляется таблица, в которой, исходя из выбранной миссии и стратегических целей организации, перечисляются основные возможности, угрозы, сильные и слабые стороны организации, а затем определяются вероятные результаты их взаимного действия</w:t>
      </w:r>
    </w:p>
    <w:p>
      <w:pPr/>
      <w:r>
        <w:rPr/>
        <w:t xml:space="preserve">¨PEST анализ — простой и удобный метод для анализа макросреды (внешней среды) предприятия.</w:t>
      </w:r>
    </w:p>
    <w:p>
      <w:pPr/>
      <w:r>
        <w:rPr/>
        <w:t xml:space="preserve">¨Методика PEST анализа часто используется для оценки ключевых рыночных тенденций отрасли, а результаты PEST анализа можно использовать для определения списка угроз и возможностей при составлении SWOT анализа компании.</w:t>
      </w:r>
    </w:p>
    <w:p>
      <w:pPr/>
      <w:r>
        <w:rPr/>
        <w:t xml:space="preserve">¨PEST анализ является инструментом долгосрочного стратегического планирования и составляется на 3-5 лет вперед, с ежегодным обновлением данных.</w:t>
      </w:r>
    </w:p>
    <w:p>
      <w:pPr/>
      <w:r>
        <w:rPr/>
        <w:t xml:space="preserve">¨Может быть выполнен в виде матрицы из 4 квадрантов или в табличной форме.</w:t>
      </w:r>
    </w:p>
    <w:p>
      <w:pPr/>
      <w:r>
        <w:rPr/>
        <w:t xml:space="preserve">¨Проводя PEST анализ, стремитесь описывать не просто текущее состояние каждого фактора, а прогнозировать его изменение на ближайшее 3-5 лет. Именно оценка влияния фактора в долгосрочной перспективе на прибыль компании позволяет применять полученные данные для формирования стратегии.</w:t>
      </w:r>
    </w:p>
    <w:p>
      <w:pPr/>
      <w:r>
        <w:rPr/>
        <w:t xml:space="preserve">¨Подойдите к процессу составления PEST анализа досконально. Не жалейте времени и подробно опишите по каждому фактору ключевые тенденции на 3-5 лет. Затем, посмотрите на все факторы и оставьте только те, которые могут повлиять на прибыль компании в будущем. После того, как значимые факторы, способные повлиять на прибыль компании определены, начинается самый сложный этап анализа: разработка тактических действий, которые могут снизить отрицательное влияние фактора на деятельность компании и максимизируют прибыль.</w:t>
      </w:r>
    </w:p>
    <w:p>
      <w:pPr/>
      <w:r>
        <w:rPr/>
        <w:t xml:space="preserve">¨Если компания реализует свои товары на разных географических рынках и функционирует в разных отраслях — рекомендуется проводить PEST анализ для каждой отрасли, для каждого рынка.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лекциях основной акцент делается на рассмотрение механизмов регулирования отраслевых рынков и экономик регионов в рамках рыночного механизма. В этом отношении предлагаемый курс дополнен политэкономией и философией экономики.</w:t>
      </w:r>
    </w:p>
    <w:p>
      <w:pPr/>
      <w:r>
        <w:rPr/>
        <w:t xml:space="preserve">Изменение модели и факторов развития регионов, современных глобальных тенденций экономических процессов вызывает необходимость совершенствования анализа производственной, хозяйственной, воспроизводственной структуры территорий. Территориальная социально-экономическая система характеризуется динамикой развития производства, экономико-географическими границами и комплексностью. Это сложные открытые и динамичные системы, которые имеют собственные процессы развития, прямые и обратные связи с разной степенью устойчивости. Качественные сдвиги в развитии территориальной экономики России вызваны новым сочетанием факторов и источников экономического роста.</w:t>
      </w:r>
    </w:p>
    <w:p>
      <w:pPr/>
      <w:r>
        <w:rPr/>
        <w:t xml:space="preserve">Снижается роль традиционных источников экономического роста в экономическом развитии страны, возрастает потребность и затраты на информацию, увеличивается роль знаний, инноваций, новых технологий, продуктов и услуг в повышении конкурентоспособности субъектов рынка.</w:t>
      </w:r>
    </w:p>
    <w:p>
      <w:pPr/>
      <w:r>
        <w:rPr/>
        <w:t xml:space="preserve">Темпы экономического роста страны определяются, как правило, не количеством вовлекаемых ресурсов в процесс производства, а их комбинацией и качеством. Особую роль в экономической системе играет модель предпринимательского поведения, основанная на системных и технических инновациях, которые являются неотъемлемым элементом инновационной экономики и обеспечивают ее конкурентоспособность.</w:t>
      </w:r>
    </w:p>
    <w:p>
      <w:pPr/>
      <w:r>
        <w:rPr/>
        <w:t xml:space="preserve">В условиях формирования и развития инновационной модели российской экономики возникает необходимость совершенствования координационных механизмов, сглаживания территориальных производственных диспропорций. Повышение эффективности элементов воспроизводственного процесса территорий сопровождается потребностью научного обоснования развития элементов моделей структурной, промышленной политики.</w:t>
      </w:r>
    </w:p>
    <w:p>
      <w:pPr/>
      <w:r>
        <w:rPr/>
        <w:t xml:space="preserve">Подготовка специалистов экономического профиля должна быть не сугубо теоретической, но иметь ярко выраженный синтетический и прикладной характер, вооружая будущих выпускников навыками, необходимыми не только для проведения экономических исследований, как таковых, но и для квалифицированного поиска, оценки и использования таких исследований при четком понимании как преимуществ, так и ограниченности экономических подходов к проблематике территориального управления. Курс, по сути, играет роль связки между базовыми теоретико-экономическими дисциплинами и дисциплинами собственно прикладными, в том числе управленческими.</w:t>
      </w:r>
    </w:p>
    <w:p>
      <w:pPr/>
      <w:r>
        <w:rPr/>
        <w:t xml:space="preserve">В силу указанных обстоятельств в курсе предполагается усиленное внимание к контексту применения понятийного аппарата и инструментария в управленческой практике. Приоритет отдается не столько усвоению моделей или фактического материала, как таковых, сколько выработке способности проецировать понятия и инструменты экономики на реалии социально-экономической политики и государственного управления.</w:t>
      </w:r>
    </w:p>
    <w:p>
      <w:pPr/>
      <w:r>
        <w:rPr/>
        <w:t xml:space="preserve">Курс предполагает как аудиторную работу (лекции и семинары), так и самостоятельную работу студентов.</w:t>
      </w:r>
    </w:p>
    <w:p>
      <w:pPr/>
      <w:r>
        <w:rPr/>
        <w:t xml:space="preserve">На лекциях излагаются основные теоретические положения и концепции курса, дающие студентам информацию, соответствующую программе.</w:t>
      </w:r>
    </w:p>
    <w:p>
      <w:pPr/>
      <w:r>
        <w:rPr/>
        <w:t xml:space="preserve">Общенаучные методы дисциплины включают в себя: абстракцию, системный анализ, формальной логики и другие. Совокупность методов познания формирует методологию научной дисциплины. Задача практических занятий – развитие у студентов навыков по применению теоретических положений к решению практических проблем.</w:t>
      </w:r>
    </w:p>
    <w:p>
      <w:pPr/>
      <w:r>
        <w:rPr/>
        <w:t xml:space="preserve">В самостоятельную работу студента входит освоение теоретического материала, изучение публикаций по актуальным экономическим проблемам, связанным с проблематикой общественного сектора, подготовка итогового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лекциях основной акцент делается на рассмотрение механизмов регулирования отраслевых рынков и экономик регионов в рамках рыночного механизма. В этом отношении предлагаемый курс дополнен политэкономией и философией экономики.</w:t>
      </w:r>
    </w:p>
    <w:p>
      <w:pPr/>
      <w:r>
        <w:rPr/>
        <w:t xml:space="preserve">Изменение модели и факторов развития регионов, современных глобальных тенденций экономических процессов вызывает необходимость совершенствования анализа производственной, хозяйственной, воспроизводственной структуры территорий. Территориальная социально-экономическая система характеризуется динамикой развития производства, экономико-географическими границами и комплексностью. Это сложные открытые и динамичные системы, которые имеют собственные процессы развития, прямые и обратные связи с разной степенью устойчивости. Качественные сдвиги в развитии территориальной экономики России вызваны новым сочетанием факторов и источников экономического роста.</w:t>
      </w:r>
    </w:p>
    <w:p>
      <w:pPr/>
      <w:r>
        <w:rPr/>
        <w:t xml:space="preserve">Снижается роль традиционных источников экономического роста в экономическом развитии страны, возрастает потребность и затраты на информацию, увеличивается роль знаний, инноваций, новых технологий, продуктов и услуг в повышении конкурентоспособности субъектов рынка.</w:t>
      </w:r>
    </w:p>
    <w:p>
      <w:pPr/>
      <w:r>
        <w:rPr/>
        <w:t xml:space="preserve">Темпы экономического роста страны определяются, как правило, не количеством вовлекаемых ресурсов в процесс производства, а их комбинацией и качеством. Особую роль в экономической системе играет модель предпринимательского поведения, основанная на системных и технических инновациях, которые являются неотъемлемым элементом инновационной экономики и обеспечивают ее конкурентоспособность.</w:t>
      </w:r>
    </w:p>
    <w:p>
      <w:pPr/>
      <w:r>
        <w:rPr/>
        <w:t xml:space="preserve">В условиях формирования и развития инновационной модели российской экономики возникает необходимость совершенствования координационных механизмов, сглаживания территориальных производственных диспропорций. Повышение эффективности элементов воспроизводственного процесса территорий сопровождается потребностью научного обоснования развития элементов моделей структурной, промышленной политики.</w:t>
      </w:r>
    </w:p>
    <w:p>
      <w:pPr/>
      <w:r>
        <w:rPr/>
        <w:t xml:space="preserve">Подготовка специалистов экономического профиля должна быть не сугубо теоретической, но иметь ярко выраженный синтетический и прикладной характер, вооружая будущих выпускников навыками, необходимыми не только для проведения экономических исследований, как таковых, но и для квалифицированного поиска, оценки и использования таких исследований при четком понимании как преимуществ, так и ограниченности экономических подходов к проблематике территориального управления. Курс, по сути, играет роль связки между базовыми теоретико-экономическими дисциплинами и дисциплинами собственно прикладными, в том числе управленческими.</w:t>
      </w:r>
    </w:p>
    <w:p>
      <w:pPr/>
      <w:r>
        <w:rPr/>
        <w:t xml:space="preserve">В силу указанных обстоятельств в курсе предполагается усиленное внимание к контексту применения понятийного аппарата и инструментария в управленческой практике. Приоритет отдается не столько усвоению моделей или фактического материала, как таковых, сколько выработке способности проецировать понятия и инструменты экономики на реалии социально-экономической политики и государственного управления.</w:t>
      </w:r>
    </w:p>
    <w:p>
      <w:pPr/>
      <w:r>
        <w:rPr/>
        <w:t xml:space="preserve">Курс предполагает как аудиторную работу (лекции и семинары), так и самостоятельную работу студентов.</w:t>
      </w:r>
    </w:p>
    <w:p>
      <w:pPr/>
      <w:r>
        <w:rPr/>
        <w:t xml:space="preserve">На лекциях излагаются основные теоретические положения и концепции курса, дающие студентам информацию, соответствующую программе.</w:t>
      </w:r>
    </w:p>
    <w:p>
      <w:pPr/>
      <w:r>
        <w:rPr/>
        <w:t xml:space="preserve">Общенаучные методы дисциплины включают в себя: абстракцию, системный анализ, формальной логики и другие. Совокупность методов познания формирует методологию научной дисциплины. Задача практических занятий – развитие у студентов навыков по применению теоретических положений к решению практических проблем.</w:t>
      </w:r>
    </w:p>
    <w:p>
      <w:pPr/>
      <w:r>
        <w:rPr/>
        <w:t xml:space="preserve">В самостоятельную работу студента входит освоение теоретического материала, изучение публикаций по актуальным экономическим проблемам, связанным с проблематикой общественного сектора, подготовка итогового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12"/>
        </w:numPr>
      </w:pPr>
      <w:r>
        <w:rPr/>
        <w:t xml:space="preserve">Строшков В. П. Особенности взаимодействия с институтами развития при управлении инновационными проектами: учебное пособие. — Екатеринбург : Изд-во Урал. ун-та, 2015. — 132 с.</w:t>
      </w:r>
    </w:p>
    <w:p>
      <w:pPr>
        <w:numPr>
          <w:ilvl w:val="0"/>
          <w:numId w:val="12"/>
        </w:numPr>
      </w:pPr>
      <w:r>
        <w:rPr/>
        <w:t xml:space="preserve">Бюджетный кодекс российской федерации. Принят от 30.09.2017 № 285-ФЗ, с изм., внесенными Федеральными законами от 31.12.1999 № 227-ФЗ.</w:t>
      </w:r>
    </w:p>
    <w:p>
      <w:pPr>
        <w:numPr>
          <w:ilvl w:val="0"/>
          <w:numId w:val="12"/>
        </w:numPr>
      </w:pPr>
      <w:r>
        <w:rPr/>
        <w:t xml:space="preserve">Федеральный закон от 17.05.2007 №82-ФЗ «О банке развития».</w:t>
      </w:r>
    </w:p>
    <w:p>
      <w:pPr>
        <w:numPr>
          <w:ilvl w:val="0"/>
          <w:numId w:val="12"/>
        </w:numPr>
      </w:pPr>
      <w:r>
        <w:rPr/>
        <w:t xml:space="preserve">Федеральный закон от 19.07.2007 № 139-ФЗ «О Российской корпорации нанотехнологий».</w:t>
      </w:r>
    </w:p>
    <w:p>
      <w:pPr>
        <w:numPr>
          <w:ilvl w:val="0"/>
          <w:numId w:val="12"/>
        </w:numPr>
      </w:pPr>
      <w:r>
        <w:rPr/>
        <w:t xml:space="preserve">Федеральный закон от 29 декабря 2014 года №473-ФЗ «О территориях опережающего социально-экономического развития в Российской Федерации.</w:t>
      </w:r>
    </w:p>
    <w:p>
      <w:pPr>
        <w:numPr>
          <w:ilvl w:val="0"/>
          <w:numId w:val="12"/>
        </w:numPr>
      </w:pPr>
      <w:r>
        <w:rPr/>
        <w:t xml:space="preserve">Федеральный Закон от 31 декабря 204 года №488-ФЗ «О промышленной политике в Российской Федерации».</w:t>
      </w:r>
    </w:p>
    <w:p>
      <w:pPr>
        <w:numPr>
          <w:ilvl w:val="0"/>
          <w:numId w:val="12"/>
        </w:numPr>
      </w:pPr>
      <w:r>
        <w:rPr/>
        <w:t xml:space="preserve">Федеральный закон от 21.07.2007 № 185-ФЗ «О Фонде содействия реформированию жилищно-коммунального хозяйства».</w:t>
      </w:r>
    </w:p>
    <w:p>
      <w:pPr>
        <w:numPr>
          <w:ilvl w:val="0"/>
          <w:numId w:val="12"/>
        </w:numPr>
      </w:pPr>
      <w:r>
        <w:rPr/>
        <w:t xml:space="preserve">Постановление Правительства Российской Федерации от 3 февраля 1994 г. №65 «О Фонде содействия развитию малых форм предприятий в научно-технической сфере».</w:t>
      </w:r>
    </w:p>
    <w:p>
      <w:pPr>
        <w:numPr>
          <w:ilvl w:val="0"/>
          <w:numId w:val="12"/>
        </w:numPr>
      </w:pPr>
      <w:r>
        <w:rPr/>
        <w:t xml:space="preserve">Постановление Правительства Российской Федерации от 15 апреля 2014 года №316 «Об утверждении государственной программы Российской Федерации «Экономическое развитие и инновационная экономика».</w:t>
      </w:r>
    </w:p>
    <w:p>
      <w:pPr>
        <w:numPr>
          <w:ilvl w:val="0"/>
          <w:numId w:val="12"/>
        </w:numPr>
      </w:pPr>
      <w:r>
        <w:rPr/>
        <w:t xml:space="preserve">Андреева Е.Л., Глухих П.Л. Формирование и развитие институтов развития малого и среднего предпринимательства в РФ // Журнал экономической теории. </w:t>
      </w:r>
      <w:r>
        <w:rPr/>
        <w:t xml:space="preserve"> - №3. </w:t>
      </w:r>
    </w:p>
    <w:p>
      <w:pPr>
        <w:numPr>
          <w:ilvl w:val="0"/>
          <w:numId w:val="12"/>
        </w:numPr>
      </w:pPr>
      <w:r>
        <w:rPr/>
        <w:t xml:space="preserve">Бахтазин А.Р., Валентик О.Н., Бухвальд Е.М. и др. Научный доклад: Институты развития как инструмент региональной экономики. – М.: Институт экономики РАН, 2015.</w:t>
      </w:r>
    </w:p>
    <w:p>
      <w:pPr>
        <w:numPr>
          <w:ilvl w:val="0"/>
          <w:numId w:val="12"/>
        </w:numPr>
      </w:pPr>
      <w:r>
        <w:rPr/>
        <w:t xml:space="preserve">Попов Е.В., Власов М.В., Симахина М.О. 2010. Институты регионального развития экономики знаний // Региональная экономика: теория и практика. </w:t>
      </w:r>
      <w:r>
        <w:rPr/>
        <w:t xml:space="preserve"> - №4. </w:t>
      </w:r>
    </w:p>
    <w:p>
      <w:pPr>
        <w:numPr>
          <w:ilvl w:val="0"/>
          <w:numId w:val="12"/>
        </w:numPr>
      </w:pPr>
      <w:r>
        <w:rPr/>
        <w:t xml:space="preserve">Пьянкова С.Г. 2011. Формирование институтов развития монопрофильных территорий: зарубежный и отечественный опыт // Фундаментальные исследования. </w:t>
      </w:r>
      <w:r>
        <w:rPr/>
        <w:t xml:space="preserve"> - №12.</w:t>
      </w:r>
    </w:p>
    <w:p>
      <w:pPr>
        <w:numPr>
          <w:ilvl w:val="0"/>
          <w:numId w:val="12"/>
        </w:numPr>
      </w:pPr>
      <w:r>
        <w:rPr/>
        <w:t xml:space="preserve">Курбатова М.В., Саблин К.С. 2012. Институты развития и квазиинституты развития в российской экономике // </w:t>
      </w:r>
      <w:r>
        <w:rPr/>
        <w:t xml:space="preserve">Terra</w:t>
      </w:r>
      <w:r>
        <w:rPr/>
        <w:t xml:space="preserve"> </w:t>
      </w:r>
      <w:r>
        <w:rPr/>
        <w:t xml:space="preserve">economicus</w:t>
      </w:r>
      <w:r>
        <w:rPr/>
        <w:t xml:space="preserve">. </w:t>
      </w:r>
      <w:r>
        <w:rPr/>
        <w:t xml:space="preserve">Том 10. - №3.</w:t>
      </w:r>
    </w:p>
    <w:p>
      <w:pPr>
        <w:numPr>
          <w:ilvl w:val="0"/>
          <w:numId w:val="12"/>
        </w:numPr>
      </w:pPr>
      <w:r>
        <w:rPr/>
        <w:t xml:space="preserve">Национальный доклад об инновациях в России, 2016.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"/>
        </w:numPr>
      </w:pPr>
      <w:r>
        <w:rPr/>
        <w:t xml:space="preserve">Попов Е.В., Власов М.В., Симахина М.О. 2010. Институты регионального развития экономики знаний // Региональная экономика: теория и практика. </w:t>
      </w:r>
      <w:r>
        <w:rPr/>
        <w:t xml:space="preserve"> - №4. </w:t>
      </w:r>
    </w:p>
    <w:p>
      <w:pPr>
        <w:numPr>
          <w:ilvl w:val="0"/>
          <w:numId w:val="13"/>
        </w:numPr>
      </w:pPr>
      <w:r>
        <w:rPr/>
        <w:t xml:space="preserve">Пьянкова С.Г. 2011. Формирование институтов развития монопрофильных территорий: зарубежный и отечественный опыт // Фундаментальные исследования. </w:t>
      </w:r>
      <w:r>
        <w:rPr/>
        <w:t xml:space="preserve"> - №12.</w:t>
      </w:r>
    </w:p>
    <w:p>
      <w:pPr>
        <w:numPr>
          <w:ilvl w:val="0"/>
          <w:numId w:val="13"/>
        </w:numPr>
      </w:pPr>
      <w:r>
        <w:rPr/>
        <w:t xml:space="preserve">Курбатова М.В., Саблин К.С. 2012. Институты развития и квазиинституты развития в российской экономике // </w:t>
      </w:r>
      <w:r>
        <w:rPr/>
        <w:t xml:space="preserve">Terra</w:t>
      </w:r>
      <w:r>
        <w:rPr/>
        <w:t xml:space="preserve"> </w:t>
      </w:r>
      <w:r>
        <w:rPr/>
        <w:t xml:space="preserve">economicus</w:t>
      </w:r>
      <w:r>
        <w:rPr/>
        <w:t xml:space="preserve">. </w:t>
      </w:r>
      <w:r>
        <w:rPr/>
        <w:t xml:space="preserve">Том 10. - №3.</w:t>
      </w:r>
    </w:p>
    <w:p>
      <w:pPr>
        <w:numPr>
          <w:ilvl w:val="0"/>
          <w:numId w:val="13"/>
        </w:numPr>
      </w:pPr>
      <w:r>
        <w:rPr/>
        <w:t xml:space="preserve">Национальный доклад об инновациях в России, 2016.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4"/>
        </w:numPr>
      </w:pPr>
      <w:r>
        <w:rPr/>
        <w:t xml:space="preserve">Министерство финансов Российской Федерации - </w:t>
      </w:r>
      <w:hyperlink r:id="rId7" w:history="1">
        <w:r>
          <w:rPr/>
          <w:t xml:space="preserve">http://minfin.ru</w:t>
        </w:r>
      </w:hyperlink>
    </w:p>
    <w:p>
      <w:pPr>
        <w:numPr>
          <w:ilvl w:val="0"/>
          <w:numId w:val="14"/>
        </w:numPr>
      </w:pPr>
      <w:r>
        <w:rPr/>
        <w:t xml:space="preserve">Федеральная налоговая служба - </w:t>
      </w:r>
      <w:hyperlink r:id="rId8" w:history="1">
        <w:r>
          <w:rPr/>
          <w:t xml:space="preserve">http://www.nalog.ru</w:t>
        </w:r>
      </w:hyperlink>
    </w:p>
    <w:p>
      <w:pPr>
        <w:numPr>
          <w:ilvl w:val="0"/>
          <w:numId w:val="14"/>
        </w:numPr>
      </w:pPr>
      <w:r>
        <w:rPr/>
        <w:t xml:space="preserve">Федеральная служба государственной статистики Российской Федерации - </w:t>
      </w:r>
      <w:hyperlink r:id="rId9" w:history="1">
        <w:r>
          <w:rPr/>
          <w:t xml:space="preserve">http://www.gks.ru</w:t>
        </w:r>
      </w:hyperlink>
    </w:p>
    <w:p>
      <w:pPr>
        <w:numPr>
          <w:ilvl w:val="0"/>
          <w:numId w:val="14"/>
        </w:numPr>
      </w:pPr>
      <w:r>
        <w:rPr/>
        <w:t xml:space="preserve">Центральный банк Российской Федерации - </w:t>
      </w:r>
      <w:hyperlink r:id="rId10" w:history="1">
        <w:r>
          <w:rPr/>
          <w:t xml:space="preserve">http://www.cbr.ru</w:t>
        </w:r>
      </w:hyperlink>
    </w:p>
    <w:p>
      <w:pPr>
        <w:numPr>
          <w:ilvl w:val="0"/>
          <w:numId w:val="14"/>
        </w:numPr>
      </w:pPr>
      <w:r>
        <w:rPr/>
        <w:t xml:space="preserve">Университетская библиотека ONLINE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14"/>
        </w:numPr>
      </w:pPr>
      <w:r>
        <w:rPr/>
        <w:t xml:space="preserve">Электронная библиотека Республики Карелия </w:t>
      </w:r>
      <w:hyperlink r:id="rId12" w:history="1">
        <w:r>
          <w:rPr/>
          <w:t xml:space="preserve">http://elibrary.karelia.ru</w:t>
        </w:r>
      </w:hyperlink>
    </w:p>
    <w:p>
      <w:pPr>
        <w:numPr>
          <w:ilvl w:val="0"/>
          <w:numId w:val="14"/>
        </w:numPr>
      </w:pPr>
      <w:r>
        <w:rPr/>
        <w:t xml:space="preserve">The World Bank URL: </w:t>
      </w:r>
      <w:hyperlink r:id="rId13" w:history="1">
        <w:r>
          <w:rPr/>
          <w:t xml:space="preserve">https://openknowledge</w:t>
        </w:r>
      </w:hyperlink>
      <w:r>
        <w:rPr/>
        <w:t xml:space="preserve">.worldbank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08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53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406AE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CA84C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8B27E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0F6E6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E4A5B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4ACBB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78133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CCD50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3A902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39D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FAD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A51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7A18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nfin.ru" TargetMode="External"/><Relationship Id="rId8" Type="http://schemas.openxmlformats.org/officeDocument/2006/relationships/hyperlink" Target="http://www.nalog.ru" TargetMode="External"/><Relationship Id="rId9" Type="http://schemas.openxmlformats.org/officeDocument/2006/relationships/hyperlink" Target="http://www.gks.ru" TargetMode="External"/><Relationship Id="rId10" Type="http://schemas.openxmlformats.org/officeDocument/2006/relationships/hyperlink" Target="http://www.cbr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elibrary.karelia.ru" TargetMode="External"/><Relationship Id="rId13" Type="http://schemas.openxmlformats.org/officeDocument/2006/relationships/hyperlink" Target="https://openknowled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2026-04-21T07:22:16+03:00</dcterms:created>
  <dcterms:modified xsi:type="dcterms:W3CDTF">2026-04-21T07:22:16+03:00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