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публичного и частного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ГРАЖДАНСКОЕ ПРАВО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38.03.04 Государственное и муниципальное управление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г. N 1016 (с изменениями от 27.02.2023 г. №208, от 19.07.2022 №662, от 26.11.2020 №1456) и учебным планом по направлению подготовки бакалавриата 38.03.04 Государственное и муниципальное управление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анализировать и применять нормы конституционного, административного и служебного права в профессиональной деятельности; использовать правоприменительную практику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 Анализирует и применяет нормы конституционного, административного и служебного права в профессиональной деятельности</w:t>
            </w:r>
          </w:p>
          <w:p/>
          <w:p>
            <w:pPr/>
            <w:r>
              <w:rPr/>
              <w:t xml:space="preserve">ОПК-3.2. Представляет результаты использования правоприменительной практики</w:t>
            </w:r>
          </w:p>
          <w:p/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проекты нормативных правовых актов в сфере профессиональной деятельности, осуществлять их правовую и антикоррупционную экспертизу, оценку регулирующего воздействия и последствий их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Применяет основные методы и приемы разработки проектов нормативно-правовых актов в сфере профессиональной деятельности.</w:t>
            </w:r>
          </w:p>
          <w:p/>
          <w:p>
            <w:pPr/>
            <w:r>
              <w:rPr/>
              <w:t xml:space="preserve">ОПК-4.2. Осуществляет правовую и антикоррупционную экспертизу нормативно-правовых актов в сфере профессиональной деятельности.</w:t>
            </w:r>
          </w:p>
          <w:p/>
          <w:p>
            <w:pPr/>
            <w:r>
              <w:rPr/>
              <w:t xml:space="preserve"> ОПК-4.3. Дает оценку регулирующего воздействия нормативных правовых актов в сфере профессиональной деятельности и последствий их применения</w:t>
            </w:r>
          </w:p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Гражданское право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52,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 дарения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 купли продажи. Общие положения.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положения об обеспечении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 аренды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положений Пленумов ВС РФ и подготовка к экзамену.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Экзамен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 купли продажи. Предмет, существенные условия, форма.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способов обеспечения исполнения обязательств и их место в системе гражданского права. Классификации. Способы обеспечения – гарантия исполнения обязательств. Виды обязательств и виды обеспечения. Определение и признаки способов обеспечения. Абсолютная и относительная акцессорность. Понятие неустойки, вопрос о допустимости «товарной неустойки». Неустойка как обязательство. Неустойка как мера ответственности. Вопросы квалификации повышенных процентов в кредитном договоре. Исковая давность по требованиям об уплате неустойки. Виды неустоек: штраф и пени, законная и договорная. Общие положения о залоге.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 аренды, его элементы и содержание. Предмет договора аренды. Обязанности сторон договора по ремонту арендованного имущества. Арендная плата. Исполнение и прекращение договора аренды. Выкуп арендованного имущества.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 дарения.Понятие, виды и элементы договора дарения. Понятие договора. Элементы и содержание договора дарения.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Вещная и обязательственная концепция залога. Залог с передачей и без передачи владения залогодержателю. Залог со стороны третьего лица. Ипотека. Залог в силу закона: разновидности по российскому законодательству и правовые проблемы. Порядок регистрации при ее необходимости в силу специфики объекта залога. Залог товаров в обороте. Залог товаров на складе (использование складских свидетельств). Объекты, ограниченные в обороте. Объем имущества, находящегося в залоге. Залог движимых транспортных средств.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Лизинг как разновидность договора аренды.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Высшего Арбитражного Суда РФ от 11 июля 2011 г. N 89 “О некоторых вопросах разрешения споров, возникающих из договоров по поводу недвижимости, которая будет создана или приобретена в будущем”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24.12.2020 N 45 &amp;amp;quot;О некоторых вопросах разрешения споров о поручительстве&amp;amp;quot;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Договор аренды. Изучение Постановления Пленума Высшего Арбитражного Суда РФ от 17 ноября 2011 г. N 73 Об отдельных вопросах практики применения правил Гражданского кодекса Российской Федерации о договоре аренды.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Российской Федерации от 23 июня 2015 г. № 25 г. Москва О применении судами некоторых положений раздела I части первой Гражданского кодекса Российской Федерации;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1) традиционные формы обучения (лекции);</w:t>
      </w:r>
    </w:p>
    <w:p>
      <w:pPr/>
      <w:r>
        <w:rPr/>
        <w:t xml:space="preserve">2) интерактивные формы обучения, заключающиеся в обращении к интернет-ресурсам.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Жукова, являясь работником муниципального предприятия «Южанка», участвовала собственными средствами в строительстве жилого дома. Строительство жилого дома в установленные сроки не было завершено, и денежные средства, внесенные Жуковой, в связи с инфляцией обесценились.</w:t>
      </w:r>
    </w:p>
    <w:p>
      <w:pPr/>
      <w:r>
        <w:rPr/>
        <w:t xml:space="preserve">В дальнейшем Жукова была уволена по сокращению штатов со снятием с учета нуждающихся в улучшении жилищных условий.</w:t>
      </w:r>
    </w:p>
    <w:p>
      <w:pPr/>
      <w:r>
        <w:rPr/>
        <w:t xml:space="preserve">Жукова обжаловала действия администрации предприятия в суде и потребовала восстановить ее на учете нуждающихся в улучшении жилищных условий. Представитель предприятия в суде заявил, что между Жуковой и предприятием никаких гражданско-правовых отношений не возникло, поскольку Жукова не является стороной договора строительного подряда, а вопрос об учете нуждающихся в улучшении жилищных условий должен рассматриваться как условие трудового договора, который расторгнут в связи с ее увольнением по сокращению штатов.</w:t>
      </w:r>
    </w:p>
    <w:p>
      <w:pPr/>
      <w:r>
        <w:rPr>
          <w:i w:val="1"/>
          <w:iCs w:val="1"/>
        </w:rPr>
        <w:t xml:space="preserve">Какое решение должен вынести суд? Изменится ли решение, если к моменту рассмотрения дела в суде жилой дом будет закончен строительством с привлечением внешнего инвестора?</w:t>
      </w:r>
    </w:p>
    <w:p>
      <w:pPr/>
      <w:r>
        <w:rPr>
          <w:b w:val="1"/>
          <w:bCs w:val="1"/>
        </w:rPr>
        <w:t xml:space="preserve">Задача 2.</w:t>
      </w:r>
    </w:p>
    <w:p>
      <w:pPr/>
      <w:r>
        <w:rPr/>
        <w:t xml:space="preserve">Богданов, работавший директором общества с ограниченной ответственностью, направлялся в Москву для участия в переговорах о закупке крупной партии товара у иностранной организации. Прибыв своевременно в аэропорт, Богданов выяснил, что его рейс задержан в связи с метеоусловиями аэропорта Москвы. Богданов позвонил своим знакомым и выяснил, что в Москве прошел сильный ураган и буквально только что закончился сильнейший ливень. Предположив, что препятствия к полету устранены, Богданов остался дожидаться вылета в аэропорту. Однако задержанный рейс был объединен с более поздним рейсом, которым Богданов и вылетел в Москву. Прибыв в Москву со значительным опазданием, Богданов узнал, что его контрагенты, не дождавшись его, приняли предложение московской компании и, заключив контракт, вылетели за границу.</w:t>
      </w:r>
    </w:p>
    <w:p>
      <w:pPr/>
      <w:r>
        <w:rPr/>
        <w:t xml:space="preserve">Богданов потребовал в суде взыскания с авиакомпании убытков, вызванных задержкой отправки его рейса в Москву и упущенной выгоды в связи с незаключением подготовленного контракта с иностранной фирмой, ссылаясь на то, что погодные условия не могут служить основанием для неисполнения в срок взятых на себя авиакомпанией обязательств.</w:t>
      </w:r>
    </w:p>
    <w:p>
      <w:pPr/>
      <w:r>
        <w:rPr>
          <w:i w:val="1"/>
          <w:iCs w:val="1"/>
        </w:rPr>
        <w:t xml:space="preserve">Какое решение должен вынести суд? Изменится ли решение, если перерыв в полетах был вызван не стихийными явлениями, а проведением в аэропорту прибытия операции по освобождению заложников?</w:t>
      </w:r>
    </w:p>
    <w:p>
      <w:pPr/>
      <w:r>
        <w:rPr>
          <w:b w:val="1"/>
          <w:bCs w:val="1"/>
        </w:rPr>
        <w:t xml:space="preserve">Задача 3.</w:t>
      </w:r>
    </w:p>
    <w:p>
      <w:pPr/>
      <w:r>
        <w:rPr/>
        <w:t xml:space="preserve">По договору, заключенному между банком и страховой компанией в рекламных целях, Смирнов, лидер одного из общественных движений, был застрахован на случай поражения на выборах в городское собрание на сумму 1 млн руб. В ходе предвыборной кампании Смирнов пообещал перечислить всю сумму страховой премии в случае проигрыша на выборах в адрес детской больницы. После подведения итогов выборов выяснилось, что Смирнов не избран в городское собрание. Детская больница напомнила о его предвыборном обещании, и Смирнов предъявил страховой полис к оплате. Страховая компания отказалась выплатить сумму страховки, поскольку договор страхования был расторгнут по требованию Росстрахнадзора. Смирнов предъявил иск к банку и страховой компании с требованием выплаты 1 млн руб.</w:t>
      </w:r>
    </w:p>
    <w:p>
      <w:pPr/>
      <w:r>
        <w:rPr>
          <w:i w:val="1"/>
          <w:iCs w:val="1"/>
        </w:rPr>
        <w:t xml:space="preserve">Есть ли основания для удовлетворения иска?</w:t>
      </w:r>
    </w:p>
    <w:p>
      <w:pPr/>
      <w:r>
        <w:rPr>
          <w:b w:val="1"/>
          <w:bCs w:val="1"/>
        </w:rPr>
        <w:t xml:space="preserve">Задача 4.</w:t>
      </w:r>
    </w:p>
    <w:p>
      <w:pPr/>
      <w:r>
        <w:rPr/>
        <w:t xml:space="preserve">В связи с расторжением брака между супругами Корниловыми возник спор о разделе совместно нажитого имущества. Андрей Корнилов настаивал на том, чтобы все имущество, состоящее из гарнитура мебели, столового и чайного сервизов, художественной библиотеки и другого имущества, было поделено поровну с учетом их стоимости. Елена Корнилова возражала против такого раздела, указывая, что в результате произойдет обесценение вещей, и предложила Корнилову взять мебельный гарнитур, а ей передать чайный и столовый сервизы. Что касается книг, то она согласна их поделить по собраниям сочинений авторов. При этом она просила лишь из Полного собрания сочинений А.С. Пушкина передать ей последний том, в котором опубликована его переписка.</w:t>
      </w:r>
    </w:p>
    <w:p>
      <w:pPr/>
      <w:r>
        <w:rPr>
          <w:i w:val="1"/>
          <w:iCs w:val="1"/>
        </w:rPr>
        <w:t xml:space="preserve">Какую классификацию вещей необходимо учитывать при решении возникшего спора, и как должно быть распределено указанное имущество, если дело поступит в суд?</w:t>
      </w:r>
    </w:p>
    <w:p>
      <w:pPr/>
      <w:r>
        <w:rPr>
          <w:b w:val="1"/>
          <w:bCs w:val="1"/>
        </w:rPr>
        <w:t xml:space="preserve">Задача 5.</w:t>
      </w:r>
    </w:p>
    <w:p>
      <w:pPr/>
      <w:r>
        <w:rPr/>
        <w:t xml:space="preserve">Сидорчук пришел в комиссионный магазин купить скрипку. Скрипка вместе со смычком была помещена в футляр, и рядом с ними была проставлена цена. Сидорчук пошел в кассу и пробил чек на указанную сумму. Продавец подал Сидорчуку скрипку без смычка и футляра. Сидорчук стал требовать передачи ему смычка и футляра. Продавец ответил, что цена стояла только за скрипку.</w:t>
      </w:r>
    </w:p>
    <w:p>
      <w:pPr/>
      <w:r>
        <w:rPr>
          <w:i w:val="1"/>
          <w:iCs w:val="1"/>
        </w:rPr>
        <w:t xml:space="preserve">Кто прав в этом споре?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Экзамен</w:t>
      </w:r>
    </w:p>
    <w:p>
      <w:pPr>
        <w:numPr>
          <w:ilvl w:val="0"/>
          <w:numId w:val="1"/>
        </w:numPr>
      </w:pPr>
      <w:r>
        <w:rPr/>
        <w:t xml:space="preserve">Понятие и элементы договора купли-продажи. Права и обязанности сторон по договору.</w:t>
      </w:r>
    </w:p>
    <w:p>
      <w:pPr>
        <w:numPr>
          <w:ilvl w:val="0"/>
          <w:numId w:val="1"/>
        </w:numPr>
      </w:pPr>
      <w:r>
        <w:rPr/>
        <w:t xml:space="preserve">Договор розничной купли-продажи. Защита прав потребителей по договору розничной купли-продажи.</w:t>
      </w:r>
    </w:p>
    <w:p>
      <w:pPr>
        <w:numPr>
          <w:ilvl w:val="0"/>
          <w:numId w:val="1"/>
        </w:numPr>
      </w:pPr>
      <w:r>
        <w:rPr/>
        <w:t xml:space="preserve">Договор поставки.</w:t>
      </w:r>
    </w:p>
    <w:p>
      <w:pPr>
        <w:numPr>
          <w:ilvl w:val="0"/>
          <w:numId w:val="1"/>
        </w:numPr>
      </w:pPr>
      <w:r>
        <w:rPr/>
        <w:t xml:space="preserve">Поставка товаров для государственных и муниципальных нужд.</w:t>
      </w:r>
    </w:p>
    <w:p>
      <w:pPr>
        <w:numPr>
          <w:ilvl w:val="0"/>
          <w:numId w:val="1"/>
        </w:numPr>
      </w:pPr>
      <w:r>
        <w:rPr/>
        <w:t xml:space="preserve">Договор контрактации.</w:t>
      </w:r>
    </w:p>
    <w:p>
      <w:pPr>
        <w:numPr>
          <w:ilvl w:val="0"/>
          <w:numId w:val="1"/>
        </w:numPr>
      </w:pPr>
      <w:r>
        <w:rPr/>
        <w:t xml:space="preserve">Договор продажи недвижимости. Права на земельный участок при переходе права собственности на недвижимость.</w:t>
      </w:r>
    </w:p>
    <w:p>
      <w:pPr>
        <w:numPr>
          <w:ilvl w:val="0"/>
          <w:numId w:val="1"/>
        </w:numPr>
      </w:pPr>
      <w:r>
        <w:rPr/>
        <w:t xml:space="preserve">Договор купли-продажи жилых помещений.</w:t>
      </w:r>
    </w:p>
    <w:p>
      <w:pPr>
        <w:numPr>
          <w:ilvl w:val="0"/>
          <w:numId w:val="1"/>
        </w:numPr>
      </w:pPr>
      <w:r>
        <w:rPr/>
        <w:t xml:space="preserve">Договор мены и его отличие от договора купли-продажи.</w:t>
      </w:r>
    </w:p>
    <w:p>
      <w:pPr>
        <w:numPr>
          <w:ilvl w:val="0"/>
          <w:numId w:val="1"/>
        </w:numPr>
      </w:pPr>
      <w:r>
        <w:rPr/>
        <w:t xml:space="preserve">Договор дарения. Ограничения и запрещение дарения. Отмена дарения и отказ от исполнения договора дарения.</w:t>
      </w:r>
    </w:p>
    <w:p>
      <w:pPr>
        <w:numPr>
          <w:ilvl w:val="0"/>
          <w:numId w:val="1"/>
        </w:numPr>
      </w:pPr>
      <w:r>
        <w:rPr/>
        <w:t xml:space="preserve">Договор ренты: понятие, форма, существенные условия, виды. Сравнительная характеристика договоров постоянной, пожизненной ренты и пожизненного содержания с иждивением.</w:t>
      </w:r>
    </w:p>
    <w:p>
      <w:pPr>
        <w:numPr>
          <w:ilvl w:val="0"/>
          <w:numId w:val="1"/>
        </w:numPr>
      </w:pPr>
      <w:r>
        <w:rPr/>
        <w:t xml:space="preserve">Договор аренды: понятие, форма, существенные условия. </w:t>
      </w:r>
      <w:r>
        <w:rPr/>
        <w:t xml:space="preserve">Особенности договора проката.</w:t>
      </w:r>
    </w:p>
    <w:p>
      <w:pPr>
        <w:numPr>
          <w:ilvl w:val="0"/>
          <w:numId w:val="1"/>
        </w:numPr>
      </w:pPr>
      <w:r>
        <w:rPr/>
        <w:t xml:space="preserve">Права, обязанности и ответственность сторон по договору аренды. Основания и порядок расторжения договора аренды.</w:t>
      </w:r>
    </w:p>
    <w:p>
      <w:pPr>
        <w:numPr>
          <w:ilvl w:val="0"/>
          <w:numId w:val="1"/>
        </w:numPr>
      </w:pPr>
      <w:r>
        <w:rPr/>
        <w:t xml:space="preserve">Договор финансовой аренды (лизинга). Понятие, форма, содержание и виды.</w:t>
      </w:r>
    </w:p>
    <w:p>
      <w:pPr>
        <w:numPr>
          <w:ilvl w:val="0"/>
          <w:numId w:val="1"/>
        </w:numPr>
      </w:pPr>
      <w:r>
        <w:rPr/>
        <w:t xml:space="preserve">Договор безвозмездного пользования имуществом (ссуды).</w:t>
      </w:r>
    </w:p>
    <w:p>
      <w:pPr>
        <w:numPr>
          <w:ilvl w:val="0"/>
          <w:numId w:val="1"/>
        </w:numPr>
      </w:pPr>
      <w:r>
        <w:rPr/>
        <w:t xml:space="preserve">Понятие и элементы договора подряда. Права и обязанности сторон по договору подряда.</w:t>
      </w:r>
    </w:p>
    <w:p>
      <w:pPr>
        <w:numPr>
          <w:ilvl w:val="0"/>
          <w:numId w:val="1"/>
        </w:numPr>
      </w:pPr>
      <w:r>
        <w:rPr/>
        <w:t xml:space="preserve">Основания одностороннего отказа от договора подряда.</w:t>
      </w:r>
    </w:p>
    <w:p>
      <w:pPr>
        <w:numPr>
          <w:ilvl w:val="0"/>
          <w:numId w:val="1"/>
        </w:numPr>
      </w:pPr>
      <w:r>
        <w:rPr/>
        <w:t xml:space="preserve">Способы обеспечения обязательств.</w:t>
      </w:r>
    </w:p>
    <w:p>
      <w:pPr>
        <w:numPr>
          <w:ilvl w:val="0"/>
          <w:numId w:val="1"/>
        </w:numPr>
      </w:pPr>
      <w:r>
        <w:rPr/>
        <w:t xml:space="preserve">Неустойка как способ обеспечения обязательств.</w:t>
      </w:r>
    </w:p>
    <w:p>
      <w:pPr>
        <w:numPr>
          <w:ilvl w:val="0"/>
          <w:numId w:val="1"/>
        </w:numPr>
      </w:pPr>
      <w:r>
        <w:rPr/>
        <w:t xml:space="preserve">Реестры залоговых уведомлений. Их значение.</w:t>
      </w:r>
    </w:p>
    <w:p>
      <w:pPr>
        <w:numPr>
          <w:ilvl w:val="0"/>
          <w:numId w:val="1"/>
        </w:numPr>
      </w:pPr>
      <w:r>
        <w:rPr/>
        <w:t xml:space="preserve">Виды эластичности залога.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Изучение данной дисциплины включает следующие формы занятий: лекции, семинары, самостоятельная работа и экзамены, завершающие ее изучение.</w:t>
      </w:r>
    </w:p>
    <w:p>
      <w:pPr/>
      <w:r>
        <w:rPr/>
        <w:t xml:space="preserve">Для успешного прохождения аттестации по дисциплине студент должен изучить основную литературу, перечень которой содержится в данной программе. Дополнительная литература изучается студентом для углубленного освоения отдельных тем.</w:t>
      </w:r>
    </w:p>
    <w:p>
      <w:pPr/>
      <w:r>
        <w:rPr/>
        <w:t xml:space="preserve">Лекционный курс является авторским и требует посещения студентом аудиторных лекционных занятий.</w:t>
      </w:r>
    </w:p>
    <w:p>
      <w:pPr/>
      <w:r>
        <w:rPr/>
        <w:t xml:space="preserve">Семинарские занятия проводятся в соответствии с тематическим планом. Их целью является углубление знаний студентов по определенным темам, обсуждение актуальных научных и практических проблем, а также отработка умений и навыков работы с нормативными актами и правоприменительными актами.</w:t>
      </w:r>
    </w:p>
    <w:p>
      <w:pPr/>
      <w:r>
        <w:rPr/>
        <w:t xml:space="preserve">Задания на экзамены формулируются преподавателем в пределах данной программы курса с учетом навыков и умений, приобретению которых уделялось особое внимание во время лекционных и семинарских занятий.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В случае замены основного преподавателя, читающего курс "Гражданское право (часть вторая)", следует придерживаться следующих рекомендаций:</w:t>
      </w:r>
    </w:p>
    <w:p>
      <w:pPr>
        <w:numPr>
          <w:ilvl w:val="0"/>
          <w:numId w:val="2"/>
        </w:numPr>
      </w:pPr>
      <w:r>
        <w:rPr/>
        <w:t xml:space="preserve">Давать лекционный материал с учетом пояснений, данных к каждому тематическому разделу.</w:t>
      </w:r>
    </w:p>
    <w:p>
      <w:pPr>
        <w:numPr>
          <w:ilvl w:val="0"/>
          <w:numId w:val="2"/>
        </w:numPr>
      </w:pPr>
      <w:r>
        <w:rPr/>
        <w:t xml:space="preserve">Рекомендовать студентам иметь на занятиях Гражданский кодекс РФ.</w:t>
      </w:r>
    </w:p>
    <w:p>
      <w:pPr>
        <w:numPr>
          <w:ilvl w:val="0"/>
          <w:numId w:val="2"/>
        </w:numPr>
      </w:pPr>
      <w:r>
        <w:rPr/>
        <w:t xml:space="preserve">Ориентировать студентов на использование списка литературы, данного в программе.</w:t>
      </w:r>
    </w:p>
    <w:p>
      <w:pPr>
        <w:numPr>
          <w:ilvl w:val="0"/>
          <w:numId w:val="2"/>
        </w:numPr>
      </w:pPr>
      <w:r>
        <w:rPr/>
        <w:t xml:space="preserve">Внимательно относиться к рекомендациям преподавателя, связанным с изучением судебных актов по курсу.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3"/>
        </w:numPr>
      </w:pPr>
      <w:r>
        <w:rPr/>
        <w:t xml:space="preserve">Гражданское право / Р.Р. Акберова, Ж.Н. Бородина, Т.Ю. Зарипова и др. ; Институт экономики, управления и права (г. Казань). – Казань : Познание, 2014. – Ч. 2. – 576 с. – Режим доступа: по подписке. – URL: </w:t>
      </w:r>
      <w:hyperlink r:id="rId7" w:history="1">
        <w:r>
          <w:rPr/>
          <w:t xml:space="preserve">http://biblioclub.ru/index.php?page=book&amp;id=257840</w:t>
        </w:r>
      </w:hyperlink>
    </w:p>
    <w:p>
      <w:pPr>
        <w:numPr>
          <w:ilvl w:val="0"/>
          <w:numId w:val="3"/>
        </w:numPr>
      </w:pPr>
      <w:r>
        <w:rPr/>
        <w:t xml:space="preserve">Иванчак, А.И. Гражданское право Российской Федерации: особенная часть / А.И. Иванчак ; Московский государственный институт международных отношений (университет) Министерства иностранных дел Российской Федерации. – Москва : Статут, 2014. – 159 с. – Режим доступа: по подписке. – URL: </w:t>
      </w:r>
      <w:hyperlink r:id="rId8" w:history="1">
        <w:r>
          <w:rPr/>
          <w:t xml:space="preserve">http://biblioclub.ru/index.php?page=book&amp;id=45058</w:t>
        </w:r>
      </w:hyperlink>
    </w:p>
    <w:p>
      <w:pPr>
        <w:numPr>
          <w:ilvl w:val="0"/>
          <w:numId w:val="3"/>
        </w:numPr>
      </w:pPr>
      <w:r>
        <w:rPr/>
        <w:t xml:space="preserve">Павлова, И.Ю. Гражданское право: особенная часть / И.Ю. Павлова. – Москва : Юнити-Дана, 2015. – 135 с. : табл. – (Экзамен). – Режим доступа: по подписке. – URL: </w:t>
      </w:r>
      <w:hyperlink r:id="rId9" w:history="1">
        <w:r>
          <w:rPr/>
          <w:t xml:space="preserve">http://biblioclub.ru/index.php?page=book&amp;id=114984</w:t>
        </w:r>
      </w:hyperlink>
    </w:p>
    <w:p>
      <w:pPr/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- </w:t>
      </w:r>
      <w:hyperlink r:id="rId10" w:history="1">
        <w:r>
          <w:rPr/>
          <w:t xml:space="preserve">http://foliant.ru/catalog/psulibr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- </w:t>
      </w:r>
      <w:hyperlink r:id="rId11" w:history="1">
        <w:r>
          <w:rPr/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-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Информационно-справочная система «Кодекс» - </w:t>
      </w:r>
      <w:hyperlink r:id="rId13" w:history="1">
        <w:r>
          <w:rPr/>
          <w:t xml:space="preserve">http://kodeks.karelia.ru/lib/show/petrsu</w:t>
        </w:r>
      </w:hyperlink>
    </w:p>
    <w:p>
      <w:pPr>
        <w:numPr>
          <w:ilvl w:val="0"/>
          <w:numId w:val="4"/>
        </w:numPr>
      </w:pPr>
      <w:r>
        <w:rPr/>
        <w:t xml:space="preserve">Компьютерная справочная правовая система «КонсультантПлюс» - </w:t>
      </w:r>
      <w:hyperlink r:id="rId14" w:history="1">
        <w:r>
          <w:rPr/>
          <w:t xml:space="preserve">http://www.consultant.ru/</w:t>
        </w:r>
      </w:hyperlink>
    </w:p>
    <w:p>
      <w:pPr>
        <w:numPr>
          <w:ilvl w:val="0"/>
          <w:numId w:val="4"/>
        </w:numPr>
      </w:pPr>
      <w:r>
        <w:rPr/>
        <w:t xml:space="preserve">Электронный каталог Научной библиотеки ПетрГУ - </w:t>
      </w:r>
      <w:hyperlink r:id="rId10" w:history="1">
        <w:r>
          <w:rPr/>
          <w:t xml:space="preserve">http://foliant.ru/catalog/psulibr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библиотека Республики Карелия - </w:t>
      </w:r>
      <w:hyperlink r:id="rId11" w:history="1">
        <w:r>
          <w:rPr/>
          <w:t xml:space="preserve">http://elibrary.karelia.ru/</w:t>
        </w:r>
      </w:hyperlink>
    </w:p>
    <w:p>
      <w:pPr>
        <w:numPr>
          <w:ilvl w:val="0"/>
          <w:numId w:val="4"/>
        </w:numPr>
      </w:pPr>
      <w:r>
        <w:rPr/>
        <w:t xml:space="preserve">Электронная библиотечная система «Университетская библиотека онлайн» -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4"/>
        </w:numPr>
      </w:pPr>
      <w:r>
        <w:rPr/>
        <w:t xml:space="preserve">Информационно-справочная система «Кодекс» - </w:t>
      </w:r>
      <w:hyperlink r:id="rId13" w:history="1">
        <w:r>
          <w:rPr/>
          <w:t xml:space="preserve">http://kodeks.karelia.ru/lib/show/petrsu</w:t>
        </w:r>
      </w:hyperlink>
    </w:p>
    <w:p>
      <w:pPr>
        <w:numPr>
          <w:ilvl w:val="0"/>
          <w:numId w:val="4"/>
        </w:numPr>
      </w:pPr>
      <w:r>
        <w:rPr/>
        <w:t xml:space="preserve">Компьютерная справочная правовая система «КонсультантПлюс» - </w:t>
      </w:r>
      <w:hyperlink r:id="rId14" w:history="1">
        <w:r>
          <w:rPr/>
          <w:t xml:space="preserve">http://www.consultant.ru/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numPr>
          <w:ilvl w:val="0"/>
          <w:numId w:val="5"/>
        </w:numPr>
      </w:pPr>
      <w:r>
        <w:rPr/>
        <w:t xml:space="preserve">Электронный каталог Научной библиотеки ПетрГУ - </w:t>
      </w:r>
      <w:hyperlink r:id="rId10" w:history="1">
        <w:r>
          <w:rPr/>
          <w:t xml:space="preserve">http://foliant.ru/catalog/psulibr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- </w:t>
      </w:r>
      <w:hyperlink r:id="rId11" w:history="1">
        <w:r>
          <w:rPr/>
          <w:t xml:space="preserve">http://elibrary.karelia.ru/</w:t>
        </w:r>
      </w:hyperlink>
    </w:p>
    <w:p>
      <w:pPr>
        <w:numPr>
          <w:ilvl w:val="0"/>
          <w:numId w:val="5"/>
        </w:numPr>
      </w:pPr>
      <w:r>
        <w:rPr/>
        <w:t xml:space="preserve">Электронная библиотечная система «Университетская библиотека онлайн» - </w:t>
      </w:r>
      <w:hyperlink r:id="rId12" w:history="1">
        <w:r>
          <w:rPr/>
          <w:t xml:space="preserve">http://biblioclub.ru/</w:t>
        </w:r>
      </w:hyperlink>
    </w:p>
    <w:p>
      <w:pPr>
        <w:numPr>
          <w:ilvl w:val="0"/>
          <w:numId w:val="5"/>
        </w:numPr>
      </w:pPr>
      <w:r>
        <w:rPr/>
        <w:t xml:space="preserve">Информационно-справочная система «Кодекс» - </w:t>
      </w:r>
      <w:hyperlink r:id="rId13" w:history="1">
        <w:r>
          <w:rPr/>
          <w:t xml:space="preserve">http://kodeks.karelia.ru/lib/show/petrsu</w:t>
        </w:r>
      </w:hyperlink>
    </w:p>
    <w:p>
      <w:pPr>
        <w:numPr>
          <w:ilvl w:val="0"/>
          <w:numId w:val="5"/>
        </w:numPr>
      </w:pPr>
      <w:r>
        <w:rPr/>
        <w:t xml:space="preserve">Компьютерная справочная правовая система «КонсультантПлюс» - </w:t>
      </w:r>
      <w:hyperlink r:id="rId14" w:history="1">
        <w:r>
          <w:rPr/>
          <w:t xml:space="preserve">http://www.consultant.ru/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F0C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BB5DC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5F2C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F5B3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6A5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C7CF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257840" TargetMode="External"/><Relationship Id="rId8" Type="http://schemas.openxmlformats.org/officeDocument/2006/relationships/hyperlink" Target="http://biblioclub.ru/index.php?page=book&amp;id=450581" TargetMode="External"/><Relationship Id="rId9" Type="http://schemas.openxmlformats.org/officeDocument/2006/relationships/hyperlink" Target="http://biblioclub.ru/index.php?page=book&amp;id=114984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kodeks.karelia.ru/lib/show/petrsu" TargetMode="External"/><Relationship Id="rId14" Type="http://schemas.openxmlformats.org/officeDocument/2006/relationships/hyperlink" Target="http://www.consult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2026-04-21T02:06:35+03:00</dcterms:created>
  <dcterms:modified xsi:type="dcterms:W3CDTF">2026-04-21T02:06:35+03:00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