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законодательства Российской Федерации о предоставлении гостиничных  и ресторанных услуг; основ организации деятельности гостиниц (иных средств размещения) и предприятий общественного питания; основ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переговоров; специализированных программ, используемых в гостиничных  и ресторанных комплексах; основ финансового, бухгалтерского и статистического учета в сфере гостиничного и ресторанного сервиса;
ПК-3.2. Умение владеть стратегическими и тактическими методами анализа потребности департаментов (служб, отделов) гостиничного и ресторанного комплекса в материальных ресурсах и персонале; осуществлять планирование и организацию деятельности гостиничного и ресторанного комплекса; осуществлять координацию и контроль, проводить оценку эффективности деятельности предприятия; использовать наставничество, делегирование, коучинг и другие современные формы развития руководящего состава и ключевых сотрудников; владеть навыками деловых и межличностных коммуникаций, проведения совещаний и собраний в трудовом коллективе; общаться на английском языке или другом иностранном языке с учетом характеристик постоянных клиентов гостиничного  и ресторанного комплекса на уровне, обеспечивающем эффективные профессиональные коммуникации;
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 и ресторанного комплекса; формирования системы бизнес-процессов, регламентов и стандартов гостиничного и ресторанного комплекса; координации и контроля деятельности служб гостиничного и ресторанного комплекса.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Шагеева, Г. Р. Проектная деятельность. Организация деятельности в проектной экономике / Г. Р. Шагеева. – Москва : Общество с ограниченной ответственностью "Издательство "Мир науки", 2023. – 132 с. – ISBN 978-5-907603-93-6. – EDN OCIWQA.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Субботина, О. И. Проектная деятельность как средство формирования готовности к профессиональной деятельности / О. И. Субботина // Образование: Ресурсы развития. Вестник ЛОИРО. – 2017. – № 2. – С. 67-72. – EDN ZCIZVN.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1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1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1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1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1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1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1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2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2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2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2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2"/>
        </w:numPr>
      </w:pPr>
      <w:r>
        <w:rPr/>
        <w:t xml:space="preserve">официальные сообщества университета в социальных сетях («Вконтакте» (https://vk.com/petrsu_ru), др.;</w:t>
      </w:r>
    </w:p>
    <w:p>
      <w:pPr>
        <w:numPr>
          <w:ilvl w:val="0"/>
          <w:numId w:val="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3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CB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2026-04-21T07:30:55+03:00</dcterms:created>
  <dcterms:modified xsi:type="dcterms:W3CDTF">2026-04-21T07:30:55+03:00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