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делового общения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&amp;quot;Аксессуары&amp;quot;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&amp;quot;Переговоры&amp;quot;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&amp;quot;Внешний вид&amp;quot;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Бордовская, Н. О. Основы делового общения / Н. О. Бордовская // Главная медицинская сестра. - 2004. - </w:t>
      </w:r>
      <w:r>
        <w:rPr/>
        <w:t xml:space="preserve">N</w:t>
      </w:r>
      <w:r>
        <w:rPr/>
        <w:t xml:space="preserve"> 10. - С. 65-71.</w:t>
      </w:r>
    </w:p>
    <w:p>
      <w:pPr/>
      <w:r>
        <w:rPr/>
        <w:t xml:space="preserve">Основные способы, правила и особенности делового общения в медицинской практике. Горанская, М. Н. </w:t>
      </w:r>
      <w:r>
        <w:rPr/>
        <w:t xml:space="preserve">The</w:t>
      </w:r>
      <w:r>
        <w:rPr/>
        <w:t xml:space="preserve"> </w:t>
      </w:r>
      <w:r>
        <w:rPr/>
        <w:t xml:space="preserve">Essentials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Business</w:t>
      </w:r>
      <w:r>
        <w:rPr/>
        <w:t xml:space="preserve"> </w:t>
      </w:r>
      <w:r>
        <w:rPr/>
        <w:t xml:space="preserve">Communication</w:t>
      </w:r>
      <w:r>
        <w:rPr/>
        <w:t xml:space="preserve"> : учеб.-метод. пособие по курсу лекций по англ. яз. "Основы иноязычного делового общения" / М. Н. Горанская ; Рос. акад. гос. службы при Президенте Рос. Федерации, ГОУ ВПО "Северо-Западная акад гос. службы", Карельский филиал Северо-Западной акад. гос. службы в г. Петрозаводске. - Петрозаводск : Издательство ПетрГУ, 2006. - 128 с.</w:t>
      </w:r>
    </w:p>
    <w:p>
      <w:pPr/>
      <w:r>
        <w:rPr/>
        <w:t xml:space="preserve">Ковальчук, А. С. Основы делового общения : учебное пособие для студентов вузов / А. С. Ковальчук. - 2-е изд. - Москва : Издательско-торговая корпорация "Дашков и К°", 2010. - 299 с.</w:t>
      </w:r>
    </w:p>
    <w:p>
      <w:pPr/>
      <w:r>
        <w:rPr/>
        <w:t xml:space="preserve">Павлова, Л. Г. Основы делового общения : учебное пособие / Л. Г. Павлова ; под ред. Л. А. Введенской. - Изд. 2-е. - Ростов-на-Дону : Феникс, 2009. - 312 с. То же: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docme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</w:t>
      </w:r>
      <w:r>
        <w:rPr/>
        <w:t xml:space="preserve">/94320/</w:t>
      </w:r>
      <w:r>
        <w:rPr/>
        <w:t xml:space="preserve">osnovy</w:t>
      </w:r>
      <w:r>
        <w:rPr/>
        <w:t xml:space="preserve">-</w:t>
      </w:r>
      <w:r>
        <w:rPr/>
        <w:t xml:space="preserve">delovogo</w:t>
      </w:r>
      <w:r>
        <w:rPr/>
        <w:t xml:space="preserve">-</w:t>
      </w:r>
      <w:r>
        <w:rPr/>
        <w:t xml:space="preserve">obshheniya</w:t>
      </w:r>
      <w:r>
        <w:rPr/>
        <w:t xml:space="preserve">-</w:t>
      </w:r>
      <w:r>
        <w:rPr/>
        <w:t xml:space="preserve">ucheb</w:t>
      </w:r>
      <w:r>
        <w:rPr/>
        <w:t xml:space="preserve">.</w:t>
      </w:r>
      <w:r>
        <w:rPr/>
        <w:t xml:space="preserve">posobie</w:t>
      </w:r>
      <w:r>
        <w:rPr/>
        <w:t xml:space="preserve">.--</w:t>
      </w:r>
      <w:r>
        <w:rPr/>
        <w:t xml:space="preserve">pavlova</w:t>
      </w:r>
      <w:r>
        <w:rPr/>
        <w:t xml:space="preserve">-</w:t>
      </w:r>
      <w:r>
        <w:rPr/>
        <w:t xml:space="preserve">l</w:t>
      </w:r>
      <w:r>
        <w:rPr/>
        <w:t xml:space="preserve">.</w:t>
      </w:r>
      <w:r>
        <w:rPr/>
        <w:t xml:space="preserve">g</w:t>
      </w:r>
      <w:r>
        <w:rPr/>
        <w:t xml:space="preserve">.---</w:t>
      </w:r>
      <w:r>
        <w:rPr/>
        <w:t xml:space="preserve">www</w:t>
      </w:r>
      <w:r>
        <w:rPr/>
        <w:t xml:space="preserve">....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E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AA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E1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61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4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EC1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2026-04-23T21:26:39+03:00</dcterms:created>
  <dcterms:modified xsi:type="dcterms:W3CDTF">2026-04-23T21:26:39+03:00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