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ПРОЕКТНО-ИССЛЕДОВАТЕЛЬСКАЯ ДЕЯТЕЛЬНОСТЬ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Ведет медицинскую документацию, в том числе в электронном   виде;</w:t>
            </w:r>
          </w:p>
          <w:p/>
          <w:p>
            <w:pPr/>
            <w:r>
              <w:rPr/>
              <w:t xml:space="preserve">ОПК-11.2. Работает с персональными данными пациентов и сведениями, составляющими врачебную тайну;</w:t>
            </w:r>
          </w:p>
          <w:p/>
          <w:p>
            <w:pPr/>
            <w:r>
              <w:rPr/>
              <w:t xml:space="preserve">ОПК-11.3. Планирует этапы научной и организационной деятельности. Систематизирует и анализирует полученную документацию;</w:t>
            </w:r>
          </w:p>
          <w:p/>
          <w:p>
            <w:pPr/>
            <w:r>
              <w:rPr/>
              <w:t xml:space="preserve">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Проектно-исследовательская деятельность входит в обязательную часть учебного плана основной образовательной программы специалитета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F627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2026-04-21T06:03:22+03:00</dcterms:created>
  <dcterms:modified xsi:type="dcterms:W3CDTF">2026-04-21T06:03:22+03:00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