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анатомии, гистологии, топографической анатомии и оперативной хирургии, патологической анатомии, судебной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МЕДИЦИНА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Лаврукова Ольга Сергеевна, профессор, кафедра анатомии, гистологии, топографической анатомии и оперативной хирургии, патологической анатомии, судебной медицины; заведующий курсом, Курс судебной медицины, доктор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 Итоговый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Производственная практика "Неотложная помощь" (О), Производственная практика "Поликлиническая" (О), Подготовка к сдаче и сдача государственного экзамена (И), Латинский язык (НО), Психология и педагогика (О), История медицины (О), Производственная практика по получению профессиональных умений и опыта профессиональной деятельности процедурной медицинской сестры (О), Детская хирургия (О), Основы сестринского дела (О), Основы ухода за больными (О), Учебная практика "Научно-исследовательская работа" (О), Стандарты оказания медицинской помощи (+),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Производственная практика терапевтического профиля "Помощник врача стационара" (О), Учебная практика "Безопасная больничная среда" (О), Проектно-исследовательская деятельность (О), Русский язык в сфере профессиональной коммуникации (О), Поликлиническая терапия (ОИ), Общая хирургия (О), Анестезиология, реанимация, интенсивная терапия (ОИ), Факультетская хирургия, урология (О), Госпитальная хирургия (О), Первичная медико-санитарная помощь (ОИ), Биоэтика и гуманитарная культура (О), Фармакология (О), Общественное здоровье и здравоохранение, экономика здравоохранения (О), Неврология, медицинская генетика, нейрохирургия (О), Судебная медицина (ОИ), Акушерство и гинекология (О), Педиатрия (О), Пропедевтика внутренних болезней (О) и др..</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терапевтического профиля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лучевая терапия (ОИ),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ОПК-10
Основной,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 Медицинская информатика (НО),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лучевая терапия (ОИ),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Стандарты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лучевая терапия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Данная дисциплина участвует в формировании  компетенции ПК-4 наряду с дисциплинами: Производственная практика "Профессиональная деятельность врача-терапевта участкового" (И), Производственная практика "Поликлиническая" (О), Подготовка к сдаче и сдача государственного экзамена (И), Поликлиническая терапия (ОИ), Факультетская хирургия, урология (НО), Госпитальная хирургия (О), Общественное здоровье и здравоохранение, экономика здравоохранения (НО), Медицинская реабилитация (О), Неврология, медицинская генетика, нейрохирургия (НО), Судебная медицина (ОИ), Госпитальная терапия, эндокринология (ОИ).</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Судебная медицина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Судебная медицина</w:t>
            </w:r>
          </w:p>
        </w:tc>
        <w:tc>
          <w:tcPr>
            <w:noWrap/>
          </w:tcPr>
          <w:p>
            <w:pPr>
              <w:jc w:val="left"/>
              <w:ind w:left="0" w:right="0" w:firstLine="0" w:hanging="0"/>
            </w:pPr>
            <w:r>
              <w:rPr/>
              <w:t xml:space="preserve">36</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Судебная медицина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 Судебно-медицинская экспертиза по делам о профессионально-должностных правонарушениях медицинских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Танатология.</w:t>
            </w:r>
          </w:p>
        </w:tc>
        <w:tc>
          <w:tcPr>
            <w:noWrap/>
          </w:tcPr>
          <w:p>
            <w:pPr>
              <w:jc w:val="left"/>
              <w:ind w:left="0" w:right="0" w:firstLine="0" w:hanging="0"/>
            </w:pPr>
            <w:r>
              <w:rPr/>
              <w:t xml:space="preserve">7</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Судебно-медицинская экспертиза скоропостижной смерти.</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Судебно-медицинская токсикология.</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Экспертиза трупов новорожденных.</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21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по делам о профессионально-должностных правонарушениях медицинских работников.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Механическая асфиксия.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 В рамках учебных курсов предусмотрены встречи с представителями российских и зарубежных компаний, образовательных учреждений, научных, государственных и общественных организаций, мастер-классы экспертов и специалистов. Удельный вес занятий, проводимых в интерактивных формах, определяется главной целью программы, особенностью контингента обучающихся и содержанием конкретных дисциплин.</w:t>
      </w:r>
    </w:p>
    <w:p>
      <w:pPr/>
      <w:r>
        <w:rPr/>
        <w:t xml:space="preserve">Дисциплина предусматривает сочетание различных образовательных технологий, направленных на лучшее усвоение материала. Классическое лекционное обучение включает в себя обучение с помощью аудиовизуальных технических средств, что позволяет достигать более высоких результатов освоения и запоминания материала.</w:t>
      </w:r>
    </w:p>
    <w:p>
      <w:pPr/>
      <w:r>
        <w:rPr/>
        <w:t xml:space="preserve">В модулях реализована </w:t>
      </w:r>
      <w:r>
        <w:rPr>
          <w:b w:val="1"/>
          <w:bCs w:val="1"/>
        </w:rPr>
        <w:t xml:space="preserve">личностно ориентированная </w:t>
      </w:r>
      <w:r>
        <w:rPr/>
        <w:t xml:space="preserve">технология образования, сочетающая два равноправных аспекта этого процесса: </w:t>
      </w:r>
      <w:r>
        <w:rPr>
          <w:b w:val="1"/>
          <w:bCs w:val="1"/>
        </w:rPr>
        <w:t xml:space="preserve">обучение </w:t>
      </w:r>
      <w:r>
        <w:rPr/>
        <w:t xml:space="preserve">и </w:t>
      </w:r>
      <w:r>
        <w:rPr>
          <w:b w:val="1"/>
          <w:bCs w:val="1"/>
        </w:rPr>
        <w:t xml:space="preserve">учение</w:t>
      </w:r>
      <w:r>
        <w:rPr/>
        <w:t xml:space="preserve">. С учетом этого учебные материалы модулей  включают информацию нескольких типов:</w:t>
      </w:r>
    </w:p>
    <w:p>
      <w:pPr>
        <w:numPr>
          <w:ilvl w:val="0"/>
          <w:numId w:val="1"/>
        </w:numPr>
      </w:pPr>
      <w:r>
        <w:rPr/>
        <w:t xml:space="preserve">информацию, отражающую мировой, постоянно обновляющийся опыт в области судебной экспертологии;</w:t>
      </w:r>
    </w:p>
    <w:p>
      <w:pPr>
        <w:numPr>
          <w:ilvl w:val="0"/>
          <w:numId w:val="1"/>
        </w:numPr>
      </w:pPr>
      <w:r>
        <w:rPr/>
        <w:t xml:space="preserve">информацию справочного характера, излагающую факты и связи между ключевыми положениями изучаемой дисциплины и базовыми общепрофессиональными дисциплинами;</w:t>
      </w:r>
    </w:p>
    <w:p>
      <w:pPr>
        <w:numPr>
          <w:ilvl w:val="0"/>
          <w:numId w:val="1"/>
        </w:numPr>
      </w:pPr>
      <w:r>
        <w:rPr/>
        <w:t xml:space="preserve">информацию, помогающую самообразованию. Это - имеющиеся в модулях текстовые пояснения, указания, примечания, комментарии, смысловые таблицы, приложения, облегчающие самостоятельную обработку текста, его понимание, а также самообучение в рамках работы с электронным образовательным ресурсом.</w:t>
      </w:r>
    </w:p>
    <w:p>
      <w:pPr/>
      <w:r>
        <w:rPr>
          <w:b w:val="1"/>
          <w:bCs w:val="1"/>
        </w:rPr>
        <w:t xml:space="preserve">Деятельностный подход </w:t>
      </w:r>
      <w:r>
        <w:rPr/>
        <w:t xml:space="preserve">при освоении дисциплины реализуется через анализ и решение учебных задач, примеры которых приведены в рабочей программе.</w:t>
      </w:r>
    </w:p>
    <w:p>
      <w:pPr/>
      <w:r>
        <w:rPr>
          <w:b w:val="1"/>
          <w:bCs w:val="1"/>
        </w:rPr>
        <w:t xml:space="preserve">Виды образовательных технологий, используемых при преподавании учебной дисциплины «Судебная медицина»: </w:t>
      </w:r>
    </w:p>
    <w:p>
      <w:pPr>
        <w:numPr>
          <w:ilvl w:val="0"/>
          <w:numId w:val="2"/>
        </w:numPr>
      </w:pPr>
      <w:r>
        <w:rPr>
          <w:b w:val="1"/>
          <w:bCs w:val="1"/>
        </w:rPr>
        <w:t xml:space="preserve">Традиционные образовательные технологии </w:t>
      </w:r>
      <w:r>
        <w:rPr/>
        <w:t xml:space="preserve">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(например,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семинар – эвристическая беседа преподавателя и студентов, обсуждение заранее подготовленных сообщений, проектов по каждому вопросу плана занятия с единым для всех перечнем рекомендуемой обязательной и дополнительной литературы, практическое занятие – занятие, посвященное освоению конкретных умений и навыков по предложенному алгоритму, 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numPr>
          <w:ilvl w:val="0"/>
          <w:numId w:val="2"/>
        </w:numPr>
      </w:pPr>
      <w:r>
        <w:rPr>
          <w:b w:val="1"/>
          <w:bCs w:val="1"/>
        </w:rPr>
        <w:t xml:space="preserve">Технологии проблемного обучения</w:t>
      </w:r>
      <w:r>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стимулирование активной познавательной деятельности студентов (например,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на основе кейс-метода («метод кейсов», «кейс-стади»)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pPr>
        <w:numPr>
          <w:ilvl w:val="0"/>
          <w:numId w:val="2"/>
        </w:numPr>
      </w:pPr>
      <w:r>
        <w:rPr>
          <w:b w:val="1"/>
          <w:bCs w:val="1"/>
        </w:rPr>
        <w:t xml:space="preserve">Игровые технологии</w:t>
      </w:r>
      <w:r>
        <w:rPr/>
        <w:t xml:space="preserve"> – организация образовательного процесса, основанная на реконструкции моделей поведения в рамках предложенных сценарных условий (например,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pPr>
        <w:numPr>
          <w:ilvl w:val="0"/>
          <w:numId w:val="2"/>
        </w:numPr>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Основные типы осуществляемых проектов:</w:t>
      </w:r>
    </w:p>
    <w:p>
      <w:pPr/>
      <w:r>
        <w:rPr>
          <w:b w:val="1"/>
          <w:bCs w:val="1"/>
        </w:rPr>
        <w:t xml:space="preserve">Исследовательский проект</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Информационный проект</w:t>
      </w:r>
      <w:r>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pPr>
        <w:numPr>
          <w:ilvl w:val="0"/>
          <w:numId w:val="3"/>
        </w:numPr>
      </w:pPr>
      <w:r>
        <w:rPr>
          <w:b w:val="1"/>
          <w:bCs w:val="1"/>
        </w:rPr>
        <w:t xml:space="preserve">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pPr/>
      <w:r>
        <w:rPr/>
        <w:t xml:space="preserve">Примеры форм учебных занятий с использованием специализированных интерактивных технологий:</w:t>
      </w:r>
    </w:p>
    <w:p>
      <w:pPr/>
      <w:r>
        <w:rPr/>
        <w:t xml:space="preserve">Лекция «обратной связи» – лекция–провокация (изложение материала с заранее запланированными ошибками), лекция-беседа, лекция-дискуссия.</w:t>
      </w:r>
    </w:p>
    <w:p>
      <w:pPr/>
      <w:r>
        <w:rPr/>
        <w:t xml:space="preserve">Практическое занятие-дискуссия – коллективное обсуждение какого-либо спорного вопроса, проблемы, выявление мнений в группе.</w:t>
      </w:r>
    </w:p>
    <w:p>
      <w:pPr>
        <w:numPr>
          <w:ilvl w:val="0"/>
          <w:numId w:val="4"/>
        </w:numPr>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t xml:space="preserve">Примеры форм учебных занятий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pPr/>
      <w:r>
        <w:rPr/>
        <w:t xml:space="preserve">При изучении модулей предусмотрены следующие </w:t>
      </w:r>
      <w:r>
        <w:rPr>
          <w:b w:val="1"/>
          <w:bCs w:val="1"/>
        </w:rPr>
        <w:t xml:space="preserve">активные формы </w:t>
      </w:r>
      <w:r>
        <w:rPr/>
        <w:t xml:space="preserve">проведения занятий:</w:t>
      </w:r>
    </w:p>
    <w:p>
      <w:pPr>
        <w:numPr>
          <w:ilvl w:val="0"/>
          <w:numId w:val="5"/>
        </w:numPr>
      </w:pPr>
      <w:r>
        <w:rPr/>
        <w:t xml:space="preserve">Просмотр и обсуждение видео фрагментов лекционного раздела модуля.</w:t>
      </w:r>
    </w:p>
    <w:p>
      <w:pPr>
        <w:numPr>
          <w:ilvl w:val="0"/>
          <w:numId w:val="5"/>
        </w:numPr>
      </w:pPr>
      <w:r>
        <w:rPr/>
        <w:t xml:space="preserve">Работа в команде при подготовке аналитических обзоров и презентаций по полученным результатам.</w:t>
      </w:r>
    </w:p>
    <w:p>
      <w:pPr>
        <w:numPr>
          <w:ilvl w:val="0"/>
          <w:numId w:val="5"/>
        </w:numPr>
      </w:pPr>
      <w:r>
        <w:rPr/>
        <w:t xml:space="preserve">Активное обсуждение презентаций студентов по материалам рефератов на практических занятиях.</w:t>
      </w:r>
    </w:p>
    <w:p>
      <w:pPr>
        <w:numPr>
          <w:ilvl w:val="0"/>
          <w:numId w:val="5"/>
        </w:numPr>
      </w:pPr>
      <w:r>
        <w:rPr/>
        <w:t xml:space="preserve">Интерактивные методы обучения: кейс-стади, метод проектов;</w:t>
      </w:r>
    </w:p>
    <w:p>
      <w:pPr>
        <w:numPr>
          <w:ilvl w:val="0"/>
          <w:numId w:val="5"/>
        </w:numPr>
      </w:pPr>
      <w:r>
        <w:rPr/>
        <w:t xml:space="preserve">Методы проблемного обучения, решение ситуативных задач;</w:t>
      </w:r>
    </w:p>
    <w:p>
      <w:pPr>
        <w:numPr>
          <w:ilvl w:val="0"/>
          <w:numId w:val="5"/>
        </w:numPr>
      </w:pPr>
      <w:r>
        <w:rPr/>
        <w:t xml:space="preserve">Проведение деловых игр, круглых столов на базе современных информационных технологий.</w:t>
      </w:r>
    </w:p>
    <w:p>
      <w:pPr/>
      <w:r>
        <w:rPr>
          <w:b w:val="1"/>
          <w:bCs w:val="1"/>
        </w:rPr>
        <w:t xml:space="preserve">Инновационные методы</w:t>
      </w:r>
      <w:r>
        <w:rPr/>
        <w:t xml:space="preserve"> основаны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Они предполагают применение информационных образовательных технологий, а также учебно-методических материалов, соответствующих современному мировому уровню, в процессе преподавания дисциплины. Применяются следующие инновационные методы:</w:t>
      </w:r>
    </w:p>
    <w:p>
      <w:pPr/>
      <w:r>
        <w:rPr/>
        <w:t xml:space="preserve">- использование медиаресурсов, энциклопедий, электронных библиотек и Интернет;</w:t>
      </w:r>
    </w:p>
    <w:p>
      <w:pPr/>
      <w:r>
        <w:rPr/>
        <w:t xml:space="preserve">- проведение электронных презентаций рефератов, контрольных и научно-исследовательских работ;</w:t>
      </w:r>
    </w:p>
    <w:p>
      <w:pPr/>
      <w:r>
        <w:rPr/>
        <w:t xml:space="preserve">- решение юридических задач с применением справочных систем «Гарант», «Консультант +»;</w:t>
      </w:r>
    </w:p>
    <w:p>
      <w:pPr/>
      <w:r>
        <w:rPr/>
        <w:t xml:space="preserve">- консультирование студентов с использованием электронной почты;</w:t>
      </w:r>
    </w:p>
    <w:p>
      <w:pPr/>
      <w:r>
        <w:rPr/>
        <w:t xml:space="preserve">- использование программно-педагогических тестовых заданий для проверки знаний студентов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Тема 1. История развития, предмет и содержание судебной медицины. Процессуальные основы судебно-медицинской экспертизы.</w:t>
      </w:r>
    </w:p>
    <w:p>
      <w:pPr/>
      <w:r>
        <w:rPr/>
        <w:t xml:space="preserve">Задание; выберите правильный ответ.</w:t>
      </w:r>
    </w:p>
    <w:p>
      <w:pPr>
        <w:numPr>
          <w:ilvl w:val="0"/>
          <w:numId w:val="6"/>
        </w:numPr>
      </w:pPr>
      <w:r>
        <w:rPr/>
        <w:t xml:space="preserve"> К производству судебно-медицинской экспертизы могут быть привлечены:</w:t>
      </w:r>
    </w:p>
    <w:p>
      <w:pPr/>
      <w:r>
        <w:rPr/>
        <w:t xml:space="preserve">1) фельдшера с большим стажем работы</w:t>
      </w:r>
    </w:p>
    <w:p>
      <w:pPr/>
      <w:r>
        <w:rPr/>
        <w:t xml:space="preserve">2) врачи-терапевты</w:t>
      </w:r>
    </w:p>
    <w:p>
      <w:pPr/>
      <w:r>
        <w:rPr/>
        <w:t xml:space="preserve">3) студенты-старшекурсники</w:t>
      </w:r>
    </w:p>
    <w:p>
      <w:pPr/>
      <w:r>
        <w:rPr/>
        <w:t xml:space="preserve">4) фармацевты</w:t>
      </w:r>
    </w:p>
    <w:p>
      <w:pPr>
        <w:numPr>
          <w:ilvl w:val="0"/>
          <w:numId w:val="7"/>
        </w:numPr>
      </w:pPr>
      <w:r>
        <w:rPr/>
        <w:t xml:space="preserve"> В основу экспертного заключения не могут быть положены:</w:t>
      </w:r>
    </w:p>
    <w:p>
      <w:pPr/>
      <w:r>
        <w:rPr/>
        <w:t xml:space="preserve">1) данные лабораторных исследований</w:t>
      </w:r>
    </w:p>
    <w:p>
      <w:pPr/>
      <w:r>
        <w:rPr/>
        <w:t xml:space="preserve">2) данные медицинской документации</w:t>
      </w:r>
    </w:p>
    <w:p>
      <w:pPr/>
      <w:r>
        <w:rPr/>
        <w:t xml:space="preserve">3) результаты осмотра потерпевшего</w:t>
      </w:r>
    </w:p>
    <w:p>
      <w:pPr/>
      <w:r>
        <w:rPr/>
        <w:t xml:space="preserve">4) данные анамнеза</w:t>
      </w:r>
    </w:p>
    <w:p>
      <w:pPr>
        <w:numPr>
          <w:ilvl w:val="0"/>
          <w:numId w:val="8"/>
        </w:numPr>
      </w:pPr>
      <w:r>
        <w:rPr/>
        <w:t xml:space="preserve"> Прерогатива оценки экспертного заключения принадлежит:</w:t>
      </w:r>
    </w:p>
    <w:p>
      <w:pPr/>
      <w:r>
        <w:rPr/>
        <w:t xml:space="preserve">1) прокурору</w:t>
      </w:r>
    </w:p>
    <w:p>
      <w:pPr/>
      <w:r>
        <w:rPr/>
        <w:t xml:space="preserve">2) адвокату</w:t>
      </w:r>
    </w:p>
    <w:p>
      <w:pPr/>
      <w:r>
        <w:rPr/>
        <w:t xml:space="preserve">3) следователю</w:t>
      </w:r>
    </w:p>
    <w:p>
      <w:pPr/>
      <w:r>
        <w:rPr/>
        <w:t xml:space="preserve">4) суду</w:t>
      </w:r>
    </w:p>
    <w:p>
      <w:pPr>
        <w:numPr>
          <w:ilvl w:val="0"/>
          <w:numId w:val="9"/>
        </w:numPr>
      </w:pPr>
      <w:r>
        <w:rPr/>
        <w:t xml:space="preserve"> Со-скольки лет гражданин имеет право сам принимать за себя решение об отказе от медицинского вмешательства, требовать предоставления ему информации о состоянии его здоровья, запрещать врачу предоставлять информацию о состоянии его здоровья своим родителям:</w:t>
      </w:r>
    </w:p>
    <w:p>
      <w:pPr/>
      <w:r>
        <w:rPr/>
        <w:t xml:space="preserve">1) с 14 лет</w:t>
      </w:r>
    </w:p>
    <w:p>
      <w:pPr/>
      <w:r>
        <w:rPr/>
        <w:t xml:space="preserve">2) с 15 лет</w:t>
      </w:r>
    </w:p>
    <w:p>
      <w:pPr/>
      <w:r>
        <w:rPr/>
        <w:t xml:space="preserve">3) с 16 лет</w:t>
      </w:r>
    </w:p>
    <w:p>
      <w:pPr/>
      <w:r>
        <w:rPr/>
        <w:t xml:space="preserve">4) с 18 лет</w:t>
      </w:r>
    </w:p>
    <w:p>
      <w:pPr>
        <w:numPr>
          <w:ilvl w:val="0"/>
          <w:numId w:val="10"/>
        </w:numPr>
      </w:pPr>
      <w:r>
        <w:rPr/>
        <w:t xml:space="preserve"> К уважительным причинам неоказания неотложной помощи больному (пострадавшему) относят:</w:t>
      </w:r>
    </w:p>
    <w:p>
      <w:pPr/>
      <w:r>
        <w:rPr/>
        <w:t xml:space="preserve">1) нахождение врача на отдыхе или на пенсии</w:t>
      </w:r>
    </w:p>
    <w:p>
      <w:pPr/>
      <w:r>
        <w:rPr/>
        <w:t xml:space="preserve">2) нерабочее время врача</w:t>
      </w:r>
    </w:p>
    <w:p>
      <w:pPr/>
      <w:r>
        <w:rPr/>
        <w:t xml:space="preserve">3) реальная угроза жизни врача</w:t>
      </w:r>
    </w:p>
    <w:p>
      <w:pPr/>
      <w:r>
        <w:rPr/>
        <w:t xml:space="preserve">4) отсутствие у больного возможности оплаты труда врача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дисциплины «Судебная медицина» являются лекции, семинары, практические занятия и лабораторные работы. Студент не имеет права пропускать без уважительных причин аудиторные занятия, в противном случае он может быть не допущен к зачету.</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медицине и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(словесным, проблемно-поисковым, репродуктивным) используются технические средства обучения.</w:t>
      </w:r>
    </w:p>
    <w:p>
      <w:pPr/>
      <w:r>
        <w:rPr>
          <w:i w:val="1"/>
          <w:iCs w:val="1"/>
        </w:rPr>
        <w:t xml:space="preserve">Практические и семинарские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i w:val="1"/>
          <w:iCs w:val="1"/>
        </w:rPr>
        <w:t xml:space="preserve">Самостоятельная работа </w:t>
      </w:r>
      <w:r>
        <w:rPr/>
        <w:t xml:space="preserve">под руководством преподавателя заключается в изучении и конспектировании «Правил судебно-медицинской экспертизы», нормативных правовых актов, инструктивных и методических пособий.</w:t>
      </w:r>
    </w:p>
    <w:p>
      <w:pPr/>
      <w:r>
        <w:rPr/>
        <w:t xml:space="preserve">Семинару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По согласованию с преподавателем или по его заданию студент может подготовить рефераты по отдельным темам дисциплины.</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r>
        <w:rPr/>
        <w:t xml:space="preserve">Важным видом работы студента при изучении дисциплины «Судебная медицина» является </w:t>
      </w:r>
      <w:r>
        <w:rPr>
          <w:i w:val="1"/>
          <w:iCs w:val="1"/>
        </w:rPr>
        <w:t xml:space="preserve">самостоятельная работа</w:t>
      </w:r>
      <w:r>
        <w:rPr/>
        <w:t xml:space="preserve">, которая заключается в углубленном изучении конспектов лекций и рекомендованной литературы. Самостоятельную работу над курсом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 содержании раздела, темы, следует изучить материал по учебнику, придерживаясь данных в ходе установочных занятий методических рекомендаций преподавателя.</w:t>
      </w:r>
    </w:p>
    <w:p>
      <w:pPr/>
      <w:r>
        <w:rPr/>
        <w:t xml:space="preserve">Возникающие при этом затруднения разрешаются в процессе проведения занятий, консультаций или при индивидуальной работе преподавателя со студентами. Самостоятельно изучаются предполагающие участие специалиста в области судебной медицины и судебной психиатрии процессуальные нормы, регламентирующие назначение и производство экспертизы, методика проведения следственных действий (осмотра места происшествия и вещественных доказательств, освидетельствования, следственного эксперимента, эксгумации и др.). Изучаются ведомственные нормативные акты (правила, инструкции, методические указания), касающиеся выполнения экспертизы трупа, живого лица, вещественных доказательств биологического происхождения. Одной из форм самостоятельной работы при решении ситуационных следственных задач является формулирование вопросов судебно-медицинскому и судебно-психиатрическому эксперту.</w:t>
      </w:r>
    </w:p>
    <w:p>
      <w:pPr/>
      <w:r>
        <w:rPr/>
        <w:t xml:space="preserve">По завершении изучения курса «Судебная медицин» студент проходит аттестацию. Оценка определяется с учетом знания теоретических положений науки, способности практически применять полученные умения и навыки при обнаружении, закреплении, изъятии, сохранении и предварительном исследовании следов биологического происхождения; при осмотре трупа на месте происшествия; при подготовке, назначении судебно-медицинской и судебно-психиатрической экспертизы и оценке заключения эксперта.</w:t>
      </w:r>
    </w:p>
    <w:p>
      <w:pPr/>
      <w:r>
        <w:rPr/>
        <w:t xml:space="preserve">Самостоятельная работа должна носить творческий и планомерный характер. Нельзя надеяться только на материал, который был получен в ходе лекций или семинарских занятий. Необходимо самостоятельно его закрепить и расширить. Наибольший эффект достигается при использовании «системы опережающего чтения», то есть предварительного индивидуального изучения материала следующей лекции.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Цели и задачи преподавания судебной медицины определяются ее предметом исследования, в который входят организационно-процессуальные основы судебно-медицинской экспертизы, объекты судебно-медицинской экспертизы, современные возможности судебно-медицинской экспертизы при рассмотрении вопросов, требующих своего разрешения при расследовании и рассмотрении уголовных и гражданских дел. Методологическая основа судебной медицины детерминирована ее тесным взаимодействием со многими дисциплинами криминалистического цикла, а также с основными отраслями медицинской науки.</w:t>
      </w:r>
    </w:p>
    <w:p>
      <w:pPr/>
      <w:r>
        <w:rPr/>
        <w:t xml:space="preserve">Мировоззренческая направленность судебной медицины определяет ее органическую связь со многими науками, она использует их достижения и делится с ними своими результатами, что позволяет ей полноценно выполнять свои функции. Первой группой наук, граничащих с судебной медициной, несомненно, являются науки естественные. Биология, анатомия, патологическая физиология, биохимия и другие снабжают судебную медицину знаниями фундаментальных законов функционирования организма человека. Лечебные дисциплины, такие как хирургия, терапия и им подобные, представляют собой источник информации о различных заболеваниях, которые могут привести к расстройству здоровья или смерти. Физика и химия (и их отрасли) дают знания о законах, лежащих в основе биологических процессов, и универсальные методы исследования.</w:t>
      </w:r>
    </w:p>
    <w:p>
      <w:pPr/>
      <w:r>
        <w:rPr/>
        <w:t xml:space="preserve">Методика занятий по судебной медицине предполагает использование нескольких форм: лекционный курс, практические занятия, проведение наружного осмотра трупа, показательное вскрытие трупа, (в секционном зале бюро судебно-медицинской экспертизы), практические занятия в форме семинаров, написание рефератов.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 а также набор оценочных средств для контроля усвоения материала дисциплины.</w:t>
      </w:r>
    </w:p>
    <w:p>
      <w:pPr/>
      <w:r>
        <w:rPr/>
        <w:t xml:space="preserve">Курс заканчивается итоговым занятием, на котором преподаватель оценивает результаты работы с электронным образовательным ресурсом, разбирает со студентами ошибки, имевшиеся в их контрольных работах, тестах, решениях задач и выставляет зачет.</w:t>
      </w:r>
    </w:p>
    <w:p>
      <w:pPr/>
      <w:r>
        <w:rPr/>
        <w:t xml:space="preserve">Методика преподавания судебной медицины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уголовных и гражданских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11"/>
        </w:numPr>
      </w:pPr>
      <w:r>
        <w:rPr/>
        <w:t xml:space="preserve">Клевно В.А. Нормативно-правовые документы, регулирующие порядок определения степени тяжести вреда, причиненного здоровью человека / В.А. Клевно. - М.: ГЭОТАР-Медиа, 2009. - 64 с.</w:t>
      </w:r>
    </w:p>
    <w:p>
      <w:pPr>
        <w:numPr>
          <w:ilvl w:val="0"/>
          <w:numId w:val="11"/>
        </w:numPr>
      </w:pPr>
      <w:r>
        <w:rPr/>
        <w:t xml:space="preserve">Кодексы и законы Российской Федерации. - СПб.:ИД "Весь", 2003. - 992с.</w:t>
      </w:r>
    </w:p>
    <w:p>
      <w:pPr>
        <w:numPr>
          <w:ilvl w:val="0"/>
          <w:numId w:val="11"/>
        </w:numPr>
      </w:pPr>
      <w:r>
        <w:rPr/>
        <w:t xml:space="preserve">Пиголкин Ю.И. Судебная медицина. Учебник для вузов / Ю.И. Пиголкин, Е.К. Баринов, Д.В. Богомолов и др. – М.: Геотар-мед, 2002. - 370 с.</w:t>
      </w:r>
    </w:p>
    <w:p>
      <w:pPr>
        <w:numPr>
          <w:ilvl w:val="0"/>
          <w:numId w:val="11"/>
        </w:numPr>
      </w:pPr>
      <w:r>
        <w:rPr/>
        <w:t xml:space="preserve">Попов В.Л. Судебная медицина. Учебник / В.Л. Попов. - СПб: С-Питер, 2002. - 608с.</w:t>
      </w:r>
    </w:p>
    <w:p>
      <w:pPr>
        <w:numPr>
          <w:ilvl w:val="0"/>
          <w:numId w:val="11"/>
        </w:numPr>
      </w:pPr>
      <w:r>
        <w:rPr/>
        <w:t xml:space="preserve">Правила определения степени тяжести вреда, причиненного здоровью человека (Постановление Правительства РФ от17.08.2007г. №522).</w:t>
      </w:r>
    </w:p>
    <w:p>
      <w:pPr>
        <w:numPr>
          <w:ilvl w:val="0"/>
          <w:numId w:val="11"/>
        </w:numPr>
      </w:pPr>
      <w:r>
        <w:rPr/>
        <w:t xml:space="preserve">Судебная медицина. Учебник для ВУЗов / Под редакцией В.Н. Крюкова. - М.: Медицина, 1998. - 464с.</w:t>
      </w:r>
    </w:p>
    <w:p>
      <w:pPr>
        <w:numPr>
          <w:ilvl w:val="0"/>
          <w:numId w:val="11"/>
        </w:numPr>
      </w:pPr>
      <w:r>
        <w:rPr/>
        <w:t xml:space="preserve">Судебная медицина. Учебник для ВУЗов / Под ред. Г.А. Пашиняна, Г.М. Харина. - М.:Гэотар-мед, 2001. - 320с.</w:t>
      </w:r>
    </w:p>
    <w:p>
      <w:pPr>
        <w:numPr>
          <w:ilvl w:val="0"/>
          <w:numId w:val="11"/>
        </w:numPr>
      </w:pPr>
      <w:r>
        <w:rPr/>
        <w:t xml:space="preserve">Судебная медицина. Учебник / Под редакцией Ю.И. Пиголкина. 2-е изд., перераб. и доп. – М.: ГЭОТАР-Медиа, 2007. – 448с.</w:t>
      </w:r>
    </w:p>
    <w:p>
      <w:pPr/>
    </w:p>
    <w:p>
      <w:pPr>
        <w:jc w:val="both"/>
        <w:ind w:left="0" w:right="0" w:firstLine="570" w:hanging="0"/>
        <w:spacing w:before="240" w:after="240"/>
      </w:pPr>
      <w:r>
        <w:rPr>
          <w:b w:val="1"/>
          <w:bCs w:val="1"/>
        </w:rPr>
        <w:t xml:space="preserve">8.2. Дополнительная литература:</w:t>
      </w:r>
    </w:p>
    <w:p>
      <w:pPr>
        <w:numPr>
          <w:ilvl w:val="0"/>
          <w:numId w:val="12"/>
        </w:numPr>
      </w:pPr>
      <w:r>
        <w:rPr/>
        <w:t xml:space="preserve">Крюков В.Н. Судебная медицина. Учебник для юридических вузов / В.Н. Крюков. - М: НОРМА, 2004. - 448с.</w:t>
      </w:r>
    </w:p>
    <w:p>
      <w:pPr>
        <w:numPr>
          <w:ilvl w:val="0"/>
          <w:numId w:val="12"/>
        </w:numPr>
      </w:pPr>
      <w:r>
        <w:rPr/>
        <w:t xml:space="preserve">Кузнецов Л.Е. Судебно-медицинская экспертиза. Книга практического врача / Л.Е. Кузнецов. – М., 2002. - 640с.</w:t>
      </w:r>
    </w:p>
    <w:p>
      <w:pPr>
        <w:numPr>
          <w:ilvl w:val="0"/>
          <w:numId w:val="12"/>
        </w:numPr>
      </w:pPr>
      <w:r>
        <w:rPr/>
        <w:t xml:space="preserve">Пиголкин Ю.И. Судебная медицина: Учебник / Ю.И. Пиголкин, В.Л. Попов. - М: Медицина, 2003. - 496с.</w:t>
      </w:r>
    </w:p>
    <w:p>
      <w:pPr>
        <w:numPr>
          <w:ilvl w:val="0"/>
          <w:numId w:val="12"/>
        </w:numPr>
      </w:pPr>
      <w:r>
        <w:rPr/>
        <w:t xml:space="preserve">Приказ N 161 «Об утверждении инструкции по организации и производству экспертных исследований в Бюро судебно-медицинской экспертизы», Москва, 2003г.</w:t>
      </w:r>
    </w:p>
    <w:p>
      <w:pPr>
        <w:numPr>
          <w:ilvl w:val="0"/>
          <w:numId w:val="12"/>
        </w:numPr>
      </w:pPr>
      <w:r>
        <w:rPr/>
        <w:t xml:space="preserve">Судебная медицина. Учебник для вузов. / Под ред. В.В. Томилина. -М.: Изд-во: Норма-Инфра-М, 2002. - 376с.</w:t>
      </w:r>
    </w:p>
    <w:p>
      <w:pPr>
        <w:numPr>
          <w:ilvl w:val="0"/>
          <w:numId w:val="12"/>
        </w:numPr>
      </w:pPr>
      <w:r>
        <w:rPr/>
        <w:t xml:space="preserve">Хохлов В.В. Регламентация деятельности судмедэксперта и специалиста / В.В. Хохлов, Р.М. Шистеров. – Смоленск, 2008. - 117 с.</w:t>
      </w:r>
    </w:p>
    <w:p>
      <w:pPr>
        <w:numPr>
          <w:ilvl w:val="0"/>
          <w:numId w:val="12"/>
        </w:numPr>
      </w:pPr>
      <w:r>
        <w:rPr/>
        <w:t xml:space="preserve">Хохлов. В.В. Судебная медицина. Руководство / В.В. Хохлов, Л.Е. Кузнецов. – Смоленск, 1998. – 800с.</w:t>
      </w:r>
    </w:p>
    <w:p>
      <w:pPr>
        <w:numPr>
          <w:ilvl w:val="0"/>
          <w:numId w:val="12"/>
        </w:numPr>
      </w:pPr>
      <w:r>
        <w:rPr/>
        <w:t xml:space="preserve">Хохлов В.В. Учебник-практикум по судебной медицине / В.В. Хохлов, А.Б. Андрейкин. - Смоленск, 2003. - 316с.</w:t>
      </w:r>
    </w:p>
    <w:p>
      <w:pPr>
        <w:numPr>
          <w:ilvl w:val="0"/>
          <w:numId w:val="12"/>
        </w:numPr>
      </w:pPr>
      <w:r>
        <w:rPr/>
        <w:t xml:space="preserve">Учебное пособие для практических занятий по судебной медицине (для преподавателей) / Под ред. Ю.И. Пиголкина. – М.: ГЭОТАР-МЕД, 2004. – 232с.</w:t>
      </w:r>
    </w:p>
    <w:p>
      <w:pPr/>
      <w:r>
        <w:rPr/>
        <w:t xml:space="preserve">Периодические издания:</w:t>
      </w:r>
    </w:p>
    <w:p>
      <w:pPr>
        <w:numPr>
          <w:ilvl w:val="0"/>
          <w:numId w:val="13"/>
        </w:numPr>
      </w:pPr>
      <w:r>
        <w:rPr/>
        <w:t xml:space="preserve">Журнал «Судебно-медицинская экспертиза».</w:t>
      </w:r>
    </w:p>
    <w:p>
      <w:pPr/>
      <w:r>
        <w:rPr/>
        <w:t xml:space="preserve">Методические разработки ВУЗа:</w:t>
      </w:r>
    </w:p>
    <w:p>
      <w:pPr>
        <w:numPr>
          <w:ilvl w:val="0"/>
          <w:numId w:val="14"/>
        </w:numPr>
      </w:pPr>
      <w:r>
        <w:rPr/>
        <w:t xml:space="preserve">Лаврукова, О. С. (Петрозаводский университет). Расстройство здоровья и смерть от действия отдельных факторов внешней среды : учебное пособие / О. С. Лаврукова ; Федер. агентство по образованию, Гос. образоват. учреждение высш</w:t>
      </w:r>
    </w:p>
    <w:p>
      <w:pPr/>
      <w:r>
        <w:rPr/>
        <w:t xml:space="preserve">проф. образования Петрозав. гос. ун-т. - Петрозаводск : Издательство ПетрГУ, 2010. - 66 с. (elibrary.karelia.ru).</w:t>
      </w:r>
    </w:p>
    <w:p>
      <w:pPr>
        <w:numPr>
          <w:ilvl w:val="0"/>
          <w:numId w:val="15"/>
        </w:numPr>
      </w:pPr>
      <w:r>
        <w:rPr/>
        <w:t xml:space="preserve">Лаврукова, О. С. (Петрозаводский университет). Судебно-медицинское исследование трупа : учеб. пособие / О. С. Лаврукова, А. Н. Приходько ; Федер. агентство по образованию, Гос. образоват. учреждение высш. проф. образования Петрозав. гос. ун-т. - Петрозаводск : Издательство ПетрГУ, 2009. - 71 с. (elibrary.karelia.ru).</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Интернет-ресурсы:</w:t>
      </w:r>
    </w:p>
    <w:p>
      <w:pPr>
        <w:numPr>
          <w:ilvl w:val="0"/>
          <w:numId w:val="16"/>
        </w:numPr>
      </w:pPr>
      <w:r>
        <w:rPr/>
        <w:t xml:space="preserve">http://www.allpravo.ru.</w:t>
      </w:r>
    </w:p>
    <w:p>
      <w:pPr>
        <w:numPr>
          <w:ilvl w:val="0"/>
          <w:numId w:val="16"/>
        </w:numPr>
      </w:pPr>
      <w:r>
        <w:rPr/>
        <w:t xml:space="preserve">http://www.lexest.ru/books.</w:t>
      </w:r>
    </w:p>
    <w:p>
      <w:pPr>
        <w:numPr>
          <w:ilvl w:val="0"/>
          <w:numId w:val="16"/>
        </w:numPr>
      </w:pPr>
      <w:r>
        <w:rPr/>
        <w:t xml:space="preserve">http://www.glossary.ru.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электронный ресурс «Судебная медицина (Лечебное дело)», размещен ресурс на Образовательном портале ПетрГУ https://edu.petrsu.ru/object/923.</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F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60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87C18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91A6E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5B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9B3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9B9F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C2FAC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311E3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16F30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80C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982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360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EFE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37D13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739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87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2026-04-21T06:03:19+03:00</dcterms:created>
  <dcterms:modified xsi:type="dcterms:W3CDTF">2026-04-21T06:03:19+03:00</dcterms:modified>
</cp:coreProperties>
</file>

<file path=docProps/custom.xml><?xml version="1.0" encoding="utf-8"?>
<Properties xmlns="http://schemas.openxmlformats.org/officeDocument/2006/custom-properties" xmlns:vt="http://schemas.openxmlformats.org/officeDocument/2006/docPropsVTypes"/>
</file>