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анатомии, гистологии, топографической анатомии и оперативной хирургии, патологической анатомии, судебной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Лаврукова Ольга Сергеевна, профессор, кафедра анатомии, гистологии, топографической анатомии и оперативной хирургии, патологической анатомии, судебной медицины; заведующий курсом, Курс судебной медицины,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 Итоговый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ОПК-10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Судебная медицина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Судебная медицина</w:t>
            </w:r>
          </w:p>
        </w:tc>
        <w:tc>
          <w:tcPr>
            <w:noWrap/>
          </w:tcPr>
          <w:p>
            <w:pPr>
              <w:jc w:val="left"/>
              <w:ind w:left="0" w:right="0" w:firstLine="0" w:hanging="0"/>
            </w:pPr>
            <w:r>
              <w:rPr/>
              <w:t xml:space="preserve">36</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Судебная медицина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 Судебно-медицинская экспертиза по делам о профессионально-должностных правонарушениях медицинских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Танатология.</w:t>
            </w:r>
          </w:p>
        </w:tc>
        <w:tc>
          <w:tcPr>
            <w:noWrap/>
          </w:tcPr>
          <w:p>
            <w:pPr>
              <w:jc w:val="left"/>
              <w:ind w:left="0" w:right="0" w:firstLine="0" w:hanging="0"/>
            </w:pPr>
            <w:r>
              <w:rPr/>
              <w:t xml:space="preserve">7</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Судебно-медицинская экспертиза скоропостижной смерти.</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Судебно-медицинская токсикология.</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Экспертиза трупов новорожденных.</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21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по делам о профессионально-должностных правонарушениях медицинских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Механическая асфиксия.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Тема 1. История развития, предмет и содержание судебной медицины. Процессуальные основы судебно-медицинской экспертизы.</w:t>
      </w:r>
    </w:p>
    <w:p>
      <w:pPr/>
      <w:r>
        <w:rPr/>
        <w:t xml:space="preserve">Задание; выберите правильный ответ.</w:t>
      </w:r>
    </w:p>
    <w:p>
      <w:pPr>
        <w:numPr>
          <w:ilvl w:val="0"/>
          <w:numId w:val="6"/>
        </w:numPr>
      </w:pPr>
      <w:r>
        <w:rPr/>
        <w:t xml:space="preserve"> К производству судебно-медицинской экспертизы могут быть привлечены:</w:t>
      </w:r>
    </w:p>
    <w:p>
      <w:pPr/>
      <w:r>
        <w:rPr/>
        <w:t xml:space="preserve">1) фельдшера с большим стажем работы</w:t>
      </w:r>
    </w:p>
    <w:p>
      <w:pPr/>
      <w:r>
        <w:rPr/>
        <w:t xml:space="preserve">2) врачи-терапевты</w:t>
      </w:r>
    </w:p>
    <w:p>
      <w:pPr/>
      <w:r>
        <w:rPr/>
        <w:t xml:space="preserve">3) студенты-старшекурсники</w:t>
      </w:r>
    </w:p>
    <w:p>
      <w:pPr/>
      <w:r>
        <w:rPr/>
        <w:t xml:space="preserve">4) фармацевты</w:t>
      </w:r>
    </w:p>
    <w:p>
      <w:pPr>
        <w:numPr>
          <w:ilvl w:val="0"/>
          <w:numId w:val="7"/>
        </w:numPr>
      </w:pPr>
      <w:r>
        <w:rPr/>
        <w:t xml:space="preserve"> В основу экспертного заключения не могут быть положены:</w:t>
      </w:r>
    </w:p>
    <w:p>
      <w:pPr/>
      <w:r>
        <w:rPr/>
        <w:t xml:space="preserve">1) данные лабораторных исследований</w:t>
      </w:r>
    </w:p>
    <w:p>
      <w:pPr/>
      <w:r>
        <w:rPr/>
        <w:t xml:space="preserve">2) данные медицинской документации</w:t>
      </w:r>
    </w:p>
    <w:p>
      <w:pPr/>
      <w:r>
        <w:rPr/>
        <w:t xml:space="preserve">3) результаты осмотра потерпевшего</w:t>
      </w:r>
    </w:p>
    <w:p>
      <w:pPr/>
      <w:r>
        <w:rPr/>
        <w:t xml:space="preserve">4) данные анамнеза</w:t>
      </w:r>
    </w:p>
    <w:p>
      <w:pPr>
        <w:numPr>
          <w:ilvl w:val="0"/>
          <w:numId w:val="8"/>
        </w:numPr>
      </w:pPr>
      <w:r>
        <w:rPr/>
        <w:t xml:space="preserve"> Прерогатива оценки экспертного заключения принадлежит:</w:t>
      </w:r>
    </w:p>
    <w:p>
      <w:pPr/>
      <w:r>
        <w:rPr/>
        <w:t xml:space="preserve">1) прокурору</w:t>
      </w:r>
    </w:p>
    <w:p>
      <w:pPr/>
      <w:r>
        <w:rPr/>
        <w:t xml:space="preserve">2) адвокату</w:t>
      </w:r>
    </w:p>
    <w:p>
      <w:pPr/>
      <w:r>
        <w:rPr/>
        <w:t xml:space="preserve">3) следователю</w:t>
      </w:r>
    </w:p>
    <w:p>
      <w:pPr/>
      <w:r>
        <w:rPr/>
        <w:t xml:space="preserve">4) суду</w:t>
      </w:r>
    </w:p>
    <w:p>
      <w:pPr>
        <w:numPr>
          <w:ilvl w:val="0"/>
          <w:numId w:val="9"/>
        </w:numPr>
      </w:pPr>
      <w:r>
        <w:rPr/>
        <w:t xml:space="preserve"> Со-скольки лет гражданин имеет право сам принимать за себя решение об отказе от медицинского вмешательства, требовать предоставления ему информации о состоянии его здоровья, запрещать врачу предоставлять информацию о состоянии его здоровья своим родителям:</w:t>
      </w:r>
    </w:p>
    <w:p>
      <w:pPr/>
      <w:r>
        <w:rPr/>
        <w:t xml:space="preserve">1) с 14 лет</w:t>
      </w:r>
    </w:p>
    <w:p>
      <w:pPr/>
      <w:r>
        <w:rPr/>
        <w:t xml:space="preserve">2) с 15 лет</w:t>
      </w:r>
    </w:p>
    <w:p>
      <w:pPr/>
      <w:r>
        <w:rPr/>
        <w:t xml:space="preserve">3) с 16 лет</w:t>
      </w:r>
    </w:p>
    <w:p>
      <w:pPr/>
      <w:r>
        <w:rPr/>
        <w:t xml:space="preserve">4) с 18 лет</w:t>
      </w:r>
    </w:p>
    <w:p>
      <w:pPr>
        <w:numPr>
          <w:ilvl w:val="0"/>
          <w:numId w:val="10"/>
        </w:numPr>
      </w:pPr>
      <w:r>
        <w:rPr/>
        <w:t xml:space="preserve"> К уважительным причинам неоказания неотложной помощи больному (пострадавшему) относят:</w:t>
      </w:r>
    </w:p>
    <w:p>
      <w:pPr/>
      <w:r>
        <w:rPr/>
        <w:t xml:space="preserve">1) нахождение врача на отдыхе или на пенсии</w:t>
      </w:r>
    </w:p>
    <w:p>
      <w:pPr/>
      <w:r>
        <w:rPr/>
        <w:t xml:space="preserve">2) нерабочее время врача</w:t>
      </w:r>
    </w:p>
    <w:p>
      <w:pPr/>
      <w:r>
        <w:rPr/>
        <w:t xml:space="preserve">3) реальная угроза жизни врача</w:t>
      </w:r>
    </w:p>
    <w:p>
      <w:pPr/>
      <w:r>
        <w:rPr/>
        <w:t xml:space="preserve">4) отсутствие у больного возможности оплаты труда врача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11"/>
        </w:numPr>
      </w:pPr>
      <w:r>
        <w:rPr/>
        <w:t xml:space="preserve">Клевно В.А. Нормативно-правовые документы, регулирующие порядок определения степени тяжести вреда, причиненного здоровью человека / В.А. Клевно. - М.: ГЭОТАР-Медиа, 2009. - 64 с.</w:t>
      </w:r>
    </w:p>
    <w:p>
      <w:pPr>
        <w:numPr>
          <w:ilvl w:val="0"/>
          <w:numId w:val="11"/>
        </w:numPr>
      </w:pPr>
      <w:r>
        <w:rPr/>
        <w:t xml:space="preserve">Кодексы и законы Российской Федерации. - СПб.:ИД "Весь", 2003. - 992с.</w:t>
      </w:r>
    </w:p>
    <w:p>
      <w:pPr>
        <w:numPr>
          <w:ilvl w:val="0"/>
          <w:numId w:val="11"/>
        </w:numPr>
      </w:pPr>
      <w:r>
        <w:rPr/>
        <w:t xml:space="preserve">Пиголкин Ю.И. Судебная медицина. Учебник для вузов / Ю.И. Пиголкин, Е.К. Баринов, Д.В. Богомолов и др. – М.: Геотар-мед, 2002. - 370 с.</w:t>
      </w:r>
    </w:p>
    <w:p>
      <w:pPr>
        <w:numPr>
          <w:ilvl w:val="0"/>
          <w:numId w:val="11"/>
        </w:numPr>
      </w:pPr>
      <w:r>
        <w:rPr/>
        <w:t xml:space="preserve">Попов В.Л. Судебная медицина. Учебник / В.Л. Попов. - СПб: С-Питер, 2002. - 608с.</w:t>
      </w:r>
    </w:p>
    <w:p>
      <w:pPr>
        <w:numPr>
          <w:ilvl w:val="0"/>
          <w:numId w:val="11"/>
        </w:numPr>
      </w:pPr>
      <w:r>
        <w:rPr/>
        <w:t xml:space="preserve">Правила определения степени тяжести вреда, причиненного здоровью человека (Постановление Правительства РФ от17.08.2007г. №522).</w:t>
      </w:r>
    </w:p>
    <w:p>
      <w:pPr>
        <w:numPr>
          <w:ilvl w:val="0"/>
          <w:numId w:val="11"/>
        </w:numPr>
      </w:pPr>
      <w:r>
        <w:rPr/>
        <w:t xml:space="preserve">Судебная медицина. Учебник для ВУЗов / Под редакцией В.Н. Крюкова. - М.: Медицина, 1998. - 464с.</w:t>
      </w:r>
    </w:p>
    <w:p>
      <w:pPr>
        <w:numPr>
          <w:ilvl w:val="0"/>
          <w:numId w:val="11"/>
        </w:numPr>
      </w:pPr>
      <w:r>
        <w:rPr/>
        <w:t xml:space="preserve">Судебная медицина. Учебник для ВУЗов / Под ред. Г.А. Пашиняна, Г.М. Харина. - М.:Гэотар-мед, 2001. - 320с.</w:t>
      </w:r>
    </w:p>
    <w:p>
      <w:pPr>
        <w:numPr>
          <w:ilvl w:val="0"/>
          <w:numId w:val="11"/>
        </w:numPr>
      </w:pPr>
      <w:r>
        <w:rPr/>
        <w:t xml:space="preserve">Судебная медицина. Учебник / Под редакцией Ю.И. Пиголкина. 2-е изд., перераб. и доп. – М.: ГЭОТАР-Медиа, 2007. – 448с.</w:t>
      </w:r>
    </w:p>
    <w:p>
      <w:pPr/>
    </w:p>
    <w:p>
      <w:pPr>
        <w:jc w:val="both"/>
        <w:ind w:left="0" w:right="0" w:firstLine="570" w:hanging="0"/>
        <w:spacing w:before="240" w:after="240"/>
      </w:pPr>
      <w:r>
        <w:rPr>
          <w:b w:val="1"/>
          <w:bCs w:val="1"/>
        </w:rPr>
        <w:t xml:space="preserve">8.2. Дополнительная литература:</w:t>
      </w:r>
    </w:p>
    <w:p>
      <w:pPr>
        <w:numPr>
          <w:ilvl w:val="0"/>
          <w:numId w:val="12"/>
        </w:numPr>
      </w:pPr>
      <w:r>
        <w:rPr/>
        <w:t xml:space="preserve">Крюков В.Н. Судебная медицина. Учебник для юридических вузов / В.Н. Крюков. - М: НОРМА, 2004. - 448с.</w:t>
      </w:r>
    </w:p>
    <w:p>
      <w:pPr>
        <w:numPr>
          <w:ilvl w:val="0"/>
          <w:numId w:val="12"/>
        </w:numPr>
      </w:pPr>
      <w:r>
        <w:rPr/>
        <w:t xml:space="preserve">Кузнецов Л.Е. Судебно-медицинская экспертиза. Книга практического врача / Л.Е. Кузнецов. – М., 2002. - 640с.</w:t>
      </w:r>
    </w:p>
    <w:p>
      <w:pPr>
        <w:numPr>
          <w:ilvl w:val="0"/>
          <w:numId w:val="12"/>
        </w:numPr>
      </w:pPr>
      <w:r>
        <w:rPr/>
        <w:t xml:space="preserve">Пиголкин Ю.И. Судебная медицина: Учебник / Ю.И. Пиголкин, В.Л. Попов. - М: Медицина, 2003. - 496с.</w:t>
      </w:r>
    </w:p>
    <w:p>
      <w:pPr>
        <w:numPr>
          <w:ilvl w:val="0"/>
          <w:numId w:val="12"/>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2"/>
        </w:numPr>
      </w:pPr>
      <w:r>
        <w:rPr/>
        <w:t xml:space="preserve">Судебная медицина. Учебник для вузов. / Под ред. В.В. Томилина. -М.: Изд-во: Норма-Инфра-М, 2002. - 376с.</w:t>
      </w:r>
    </w:p>
    <w:p>
      <w:pPr>
        <w:numPr>
          <w:ilvl w:val="0"/>
          <w:numId w:val="12"/>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2"/>
        </w:numPr>
      </w:pPr>
      <w:r>
        <w:rPr/>
        <w:t xml:space="preserve">Хохлов. В.В. Судебная медицина. Руководство / В.В. Хохлов, Л.Е. Кузнецов. – Смоленск, 1998. – 800с.</w:t>
      </w:r>
    </w:p>
    <w:p>
      <w:pPr>
        <w:numPr>
          <w:ilvl w:val="0"/>
          <w:numId w:val="12"/>
        </w:numPr>
      </w:pPr>
      <w:r>
        <w:rPr/>
        <w:t xml:space="preserve">Хохлов В.В. Учебник-практикум по судебной медицине / В.В. Хохлов, А.Б. Андрейкин. - Смоленск, 2003. - 316с.</w:t>
      </w:r>
    </w:p>
    <w:p>
      <w:pPr>
        <w:numPr>
          <w:ilvl w:val="0"/>
          <w:numId w:val="12"/>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r>
        <w:rPr/>
        <w:t xml:space="preserve">Периодические издания:</w:t>
      </w:r>
    </w:p>
    <w:p>
      <w:pPr>
        <w:numPr>
          <w:ilvl w:val="0"/>
          <w:numId w:val="13"/>
        </w:numPr>
      </w:pPr>
      <w:r>
        <w:rPr/>
        <w:t xml:space="preserve">Журнал «Судебно-медицинская экспертиза».</w:t>
      </w:r>
    </w:p>
    <w:p>
      <w:pPr/>
      <w:r>
        <w:rPr/>
        <w:t xml:space="preserve">Методические разработки ВУЗа:</w:t>
      </w:r>
    </w:p>
    <w:p>
      <w:pPr>
        <w:numPr>
          <w:ilvl w:val="0"/>
          <w:numId w:val="14"/>
        </w:numPr>
      </w:pPr>
      <w:r>
        <w:rPr/>
        <w:t xml:space="preserve">Лаврукова, О. С. (Петрозаводский университет). Расстройство здоровья и смерть от действия отдельных факторов внешней среды : учебное пособие / О. С. Лаврукова ; Федер. агентство по образованию, Гос. образоват. учреждение высш</w:t>
      </w:r>
    </w:p>
    <w:p>
      <w:pPr/>
      <w:r>
        <w:rPr/>
        <w:t xml:space="preserve">проф. образования Петрозав. гос. ун-т. - Петрозаводск : Издательство ПетрГУ, 2010. - 66 с. (elibrary.karelia.ru).</w:t>
      </w:r>
    </w:p>
    <w:p>
      <w:pPr>
        <w:numPr>
          <w:ilvl w:val="0"/>
          <w:numId w:val="15"/>
        </w:numPr>
      </w:pPr>
      <w:r>
        <w:rPr/>
        <w:t xml:space="preserve">Лаврукова, О. С. (Петрозаводский университет). Судебно-медицинское исследование трупа : учеб. пособие / О. С. Лаврукова, А. Н. Приходько ; Федер. агентство по образованию, Гос. образоват. учреждение высш. проф. образования Петрозав. гос. ун-т. - Петрозаводск : Издательство ПетрГУ, 2009. - 71 с. (elibrary.karelia.ru).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Интернет-ресурсы:</w:t>
      </w:r>
    </w:p>
    <w:p>
      <w:pPr>
        <w:numPr>
          <w:ilvl w:val="0"/>
          <w:numId w:val="16"/>
        </w:numPr>
      </w:pPr>
      <w:r>
        <w:rPr/>
        <w:t xml:space="preserve">http://www.allpravo.ru.</w:t>
      </w:r>
    </w:p>
    <w:p>
      <w:pPr>
        <w:numPr>
          <w:ilvl w:val="0"/>
          <w:numId w:val="16"/>
        </w:numPr>
      </w:pPr>
      <w:r>
        <w:rPr/>
        <w:t xml:space="preserve">http://www.lexest.ru/books.</w:t>
      </w:r>
    </w:p>
    <w:p>
      <w:pPr>
        <w:numPr>
          <w:ilvl w:val="0"/>
          <w:numId w:val="16"/>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электронный ресурс «Судебная медицина (Лечебное дело)», размещен ресурс на Образовательном портале ПетрГУ https://edu.petrsu.ru/object/923.</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B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A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DE6C0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4B332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CE0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913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173E4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6EB62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639EA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AA863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20D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3EC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F02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D78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EB7E5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D0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DA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2026-04-21T07:53:32+03:00</dcterms:created>
  <dcterms:modified xsi:type="dcterms:W3CDTF">2026-04-21T07:53:32+03:00</dcterms:modified>
</cp:coreProperties>
</file>

<file path=docProps/custom.xml><?xml version="1.0" encoding="utf-8"?>
<Properties xmlns="http://schemas.openxmlformats.org/officeDocument/2006/custom-properties" xmlns:vt="http://schemas.openxmlformats.org/officeDocument/2006/docPropsVTypes"/>
</file>