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госпитальной терапии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 "НЕОТЛОЖНАЯ ПОМОЩЬ"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специалитета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Использует принципы врачебной этики и деонтологии в профессиональной деятельности;
ОПК-1.2. Применяет законодательство Российской Федерации в сфере охраны здоровья и нормативные правовые акты, определяющие
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
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
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Организует уход за больными;
ОПК-6.2. Обеспечивает организацию работы и принятие профессиональных решений при неотложных состояниях на догоспитальном этапе;
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
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
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
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
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
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
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
ПК-2.2. Формулирует предварительный диагноз и составляет план лабораторных и инструментальных обследований пациента;
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ПК-2.6. Проводит дифференциальную диагностику с другими заболеваниями / состояниями, в том числе неотложными;
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
ПК-3.4. Оказывает паллиативную медицинскую помощь при взаимодействии с врачами-специалистами и иными медицинскими работниками;
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ведению медицинской документации и организации деятельности находящегося в распоряжении среднего медицинского персонала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Составление плана работы и отчета о своей работе, оформление паспорта врачебного (терапевтического) участка;
ПК-6.2. Проведение анализа показателей заболеваемости, инвалидности и смертности для характеристики здоровья прикрепленного населения;
ПК-6.3. Ведение медицинской документации, в том числе в электронном виде;
ПК-6.4. Контроль выполнения должностных обязанностей медицинской сестрой участковой и иными находящимися в распоряжении медицинскими работниками;
ПК-6.5. Обеспечение внутреннего контроля качества и безопасности медицинской деятельности в пределах должностных обязанностей.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специалитета</w:t>
      </w:r>
    </w:p>
    <w:p>
      <w:pPr/>
      <w:r>
        <w:rPr/>
        <w:t xml:space="preserve">Дисциплина "Производственная практика "Неотложная помощь""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11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___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2026-04-21T06:22:40+03:00</dcterms:created>
  <dcterms:modified xsi:type="dcterms:W3CDTF">2026-04-21T06:22:40+03:00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