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АРХИТЕКТУРА ГРАЖДАНСКИХ И ПРОМЫШЛЕННЫХ ЗДАНИЙ И СООРУЖЕНИЙ (АРХИТЕКТУРА)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Никонова Юлия Васильевна, доцент, кафедра технологии и организации строительства,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архитектурно-строительному проектированию зданий и сооружений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Выбор исходной информации и нормативно-технических документов для  проектирования здания (сооружения) промышленного и гражданского назначения, подготовка технического задания на разработку раздела проектной документации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ПК-3.2. Определение основных параметров объемно-планировочного и  конструктивного решения здания (сооружения) промышленного и гражданского назначения в соответствии с нормативно-техническими документами, техническим заданием и с учетом требований норм для маломобильных групп населения, назначение основных параметров строительной конструкции здания (сооружения) промышленного и гражданского назначения; </w:t>
            </w:r>
          </w:p>
          <w:p/>
          <w:p>
            <w:pPr/>
            <w:r>
              <w:rPr/>
              <w:t xml:space="preserve">ПК-3.3. Оформление текстовой и графической части проекта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ПК-3.4. Представление и защита результатов работ по архитектурно-строительному проектированию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оценку технических и технологических решений в сфере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Выбор и систематизация информации об основных параметрах  технических и технологических решений в сфере промышленного и гражданского строительства;</w:t>
            </w:r>
          </w:p>
          <w:p/>
          <w:p>
            <w:pPr/>
            <w:r>
              <w:rPr/>
              <w:t xml:space="preserve">ПК-1.2. Выбор нормативно-технических документов, устанавливающих требования к зданиям (сооружениям) промышленного и гражданского назначения;</w:t>
            </w:r>
          </w:p>
          <w:p/>
          <w:p>
            <w:pPr/>
            <w:r>
              <w:rPr/>
              <w:t xml:space="preserve">ПК-1.3. Оценка технических и технологических решений в сфере промышленного и гражданского строительства на соответствие нормативно-техническим документам.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Архитектура гражданских и промышленных зданий и сооружений (архитектура)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42,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курсовой проект, 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сведения. Каркасы промышленных зданий.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Фундаменты промышленных зданий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Стены промышленных зданий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Крыши и фонари промышленных зданий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Окна, двери, ворота в промышленных зданиях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Внутренние конструкции промышленных зданий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промышленного здания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курсовой проект,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 проектирования промышленных зданий. Физико-технические основы проектирования промышленных зданий. Объемно-планировочные и конструктивные решения промышленных зданий. Вспомогательные здания и помещения промышленных предприятий. Архитектурно-композиционные решения промышленных зданий.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Железобетонные каркасы одноэтажных зданий. Стальные каркасы одноэтажных зданий. Каркасы многоэтажных зданий.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Монолитные железобетонные фундаменты со ступенчатой плитной частью. Опалубка монолитных железобетонных фундаментов. Железобетонные подколонники под стальные колонны в фундаментах глубокого заложения. Фундаменты из сборных железобетонных элементов.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Стены промышленных зданий. Общие требования, предъявляемые к стенам. Фахверки. Стены из кирпича и крупных блоков. Стены из крупных панелей. Остекление поверхности стен.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Ограждающие конструкции покрытий и требования, предъявляемые к ним. Конструкции ограждающих частей покрытий. Кровли и водоотводы с покрытий. Классификация фонарей и их общие конструктивные схемы.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Оконные панели, переплеты и заполнения. Двери. Ворота: распашные, откатные, подъемно-секционные, шторные.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Полы. Разделительные перегородки. Лестницы общего и специального назначения.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фундаментов и фундаментных балок.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Стены и окна промышленных зданий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конструкций покрытия промышленного здания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гардеробно-душевого блока и цеха промышленного здания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унификации промышленных зданий. Правила привязки конструктивных элементов к координационным осям в одноэтажных и много этажных зданиях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конспектом, учебником и списком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конспектом, учебником и списком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конспектом, учебником и списком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параметры микроклимата в производственных зданиях и способы их обеспечения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Административные и бытовые здания и помещения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бытовых помещений и оборудования гардеробно-душевого блока.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архитектурно-конструктивного решения гардеробно-душевого блока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Графическая работа: «План гардеробно-душевого блока»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Графическая работа «План производственного корпуса»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Графическая работа «Продольный разрез»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Графическая работа «Поперечный разрез»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Графическая работа «Фасад»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Графическая работа «Парапетный узел»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Графическая работа «Фундаментный узел»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конспектом, учебником и списком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start"/>
      </w:pPr>
      <w:r>
        <w:rPr>
          <w:lang w:val="ru-RU"/>
        </w:rPr>
        <w:t xml:space="preserve">В соответствии с требованиями ФГОС ВО по реализации компетентностного подхода в ходе освоения дисциплины, наряду с лекционными и практическими занятиями, предусматривается использование инновационных форм проведения занятий, в частности модификация лекционной формы обучения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мультимедийным оборудованием:</w:t>
      </w:r>
    </w:p>
    <w:p>
      <w:pPr>
        <w:numPr>
          <w:ilvl w:val="0"/>
          <w:numId w:val="1"/>
        </w:numPr>
      </w:pPr>
      <w:r>
        <w:rPr/>
        <w:t xml:space="preserve">использование мультимедийных презентаций;</w:t>
      </w:r>
    </w:p>
    <w:p>
      <w:pPr>
        <w:numPr>
          <w:ilvl w:val="0"/>
          <w:numId w:val="1"/>
        </w:numPr>
      </w:pPr>
      <w:r>
        <w:rPr/>
        <w:t xml:space="preserve">работа в группах;</w:t>
      </w:r>
    </w:p>
    <w:p>
      <w:pPr>
        <w:numPr>
          <w:ilvl w:val="0"/>
          <w:numId w:val="1"/>
        </w:numPr>
      </w:pPr>
      <w:r>
        <w:rPr/>
        <w:t xml:space="preserve">индивидуальная работа;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образовательная деятельность на основе ИКТ.</w:t>
      </w:r>
    </w:p>
    <w:p>
      <w:pPr>
        <w:jc w:val="start"/>
      </w:pPr>
      <w:r>
        <w:rPr>
          <w:lang w:val="ru-RU"/>
        </w:rPr>
        <w:t xml:space="preserve">В рамках освоения дисциплины могут быть предусмотрены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</w:p>
    <w:p>
      <w:pPr>
        <w:jc w:val="start"/>
      </w:pPr>
      <w:r>
        <w:rPr>
          <w:lang w:val="ru-RU"/>
        </w:rPr>
        <w:t xml:space="preserve">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Решение комплектов задач (рабочая тетрадь)</w:t>
      </w:r>
    </w:p>
    <w:p>
      <w:pPr>
        <w:jc w:val="start"/>
      </w:pPr>
      <w:r>
        <w:rPr>
          <w:lang w:val="ru-RU"/>
          <w:i w:val="1"/>
          <w:iCs w:val="1"/>
        </w:rPr>
        <w:t xml:space="preserve">Пример задачи из комплекта задач (рабочей тетради):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Тема 8. Фонари, перегородки, полы, ворота, лестницы и другие элементы промышленных зданий.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Цель занятия:</w:t>
      </w:r>
    </w:p>
    <w:p>
      <w:pPr>
        <w:jc w:val="start"/>
      </w:pPr>
      <w:r>
        <w:rPr>
          <w:lang w:val="ru-RU"/>
        </w:rPr>
        <w:t xml:space="preserve">Знать функциональное назначение и необходимость устройства фонарей, перегородок и других элементов промышленного здания. Проявить умение конструирования фонарей, перегородок, полов и лестниц с учетом эксплуатационных условий. Определять необходимость устройства деформационных швов.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Содержание занятия:</w:t>
      </w:r>
    </w:p>
    <w:p>
      <w:pPr>
        <w:jc w:val="start"/>
      </w:pPr>
      <w:r>
        <w:rPr>
          <w:lang w:val="ru-RU"/>
        </w:rPr>
        <w:t xml:space="preserve">1. Произвести обоснование необходимости устройства фонарей и их типов в зданиях различного назначения.</w:t>
      </w:r>
    </w:p>
    <w:p>
      <w:pPr>
        <w:jc w:val="start"/>
      </w:pPr>
      <w:r>
        <w:rPr>
          <w:lang w:val="ru-RU"/>
        </w:rPr>
        <w:t xml:space="preserve">2. Разработать вариант устройства фонаря светоаэрационного типа.</w:t>
      </w:r>
    </w:p>
    <w:p>
      <w:pPr>
        <w:jc w:val="start"/>
      </w:pPr>
      <w:r>
        <w:rPr>
          <w:lang w:val="ru-RU"/>
        </w:rPr>
        <w:t xml:space="preserve">3. Определить необходимость устройства перегородок различного типа на примере задания на курсовой проект и дать их конструктивное исполнение.</w:t>
      </w:r>
    </w:p>
    <w:p>
      <w:pPr>
        <w:jc w:val="start"/>
      </w:pPr>
      <w:r>
        <w:rPr>
          <w:lang w:val="ru-RU"/>
        </w:rPr>
        <w:t xml:space="preserve">4. Разработать спецификацию полов для заданного производства.</w:t>
      </w:r>
    </w:p>
    <w:p>
      <w:pPr>
        <w:jc w:val="start"/>
      </w:pPr>
      <w:r>
        <w:rPr>
          <w:lang w:val="ru-RU"/>
        </w:rPr>
        <w:t xml:space="preserve">5. Составить схему движения внутрицехового наземного транспорта с указанием типа ворот.</w:t>
      </w:r>
    </w:p>
    <w:p>
      <w:pPr>
        <w:jc w:val="start"/>
      </w:pPr>
      <w:r>
        <w:rPr>
          <w:lang w:val="ru-RU"/>
        </w:rPr>
        <w:t xml:space="preserve">6. Дать предложения по устройству деформационных швов на примере задания на курсовой проект.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Критерии оценивания решения комплектов задач:</w:t>
      </w:r>
    </w:p>
    <w:p>
      <w:pPr>
        <w:jc w:val="start"/>
      </w:pPr>
      <w:r>
        <w:rPr>
          <w:lang w:val="ru-RU"/>
        </w:rPr>
        <w:t xml:space="preserve">«Зачтено» выставляется обучающемуся, если он показал достаточно прочные знания при решении задач, умеет правильно оценить полученные результаты.</w:t>
      </w:r>
    </w:p>
    <w:p>
      <w:pPr>
        <w:jc w:val="start"/>
      </w:pPr>
      <w:r>
        <w:rPr>
          <w:lang w:val="ru-RU"/>
        </w:rPr>
        <w:t xml:space="preserve">«Не зачтено» выставляется обучающемуся, если при решении задач выявились существенные пробелы в знаниях, неумение с помощью преподавателя получить правильное решение конкретной практической задачи.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>
        <w:jc w:val="start"/>
      </w:pPr>
      <w:r>
        <w:rPr>
          <w:lang w:val="ru-RU"/>
          <w:u w:val="single"/>
        </w:rPr>
        <w:t xml:space="preserve">Задание на проектирование: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Исходные данные по санитарной характеристике производственного процесса:</w:t>
      </w:r>
    </w:p>
    <w:p>
      <w:pPr>
        <w:jc w:val="start"/>
      </w:pPr>
      <w:r>
        <w:rPr/>
        <w:t xml:space="preserve">I </w:t>
      </w:r>
      <w:r>
        <w:rPr>
          <w:lang w:val="ru-RU"/>
        </w:rPr>
        <w:t xml:space="preserve"> вариант – 1б</w:t>
      </w:r>
    </w:p>
    <w:p>
      <w:pPr>
        <w:jc w:val="start"/>
      </w:pPr>
      <w:r>
        <w:rPr/>
        <w:t xml:space="preserve">II</w:t>
      </w:r>
      <w:r>
        <w:rPr>
          <w:lang w:val="ru-RU"/>
        </w:rPr>
        <w:t xml:space="preserve"> вариант – 1в</w:t>
      </w:r>
    </w:p>
    <w:p>
      <w:pPr>
        <w:jc w:val="start"/>
      </w:pPr>
      <w:r>
        <w:rPr/>
        <w:t xml:space="preserve">III</w:t>
      </w:r>
      <w:r>
        <w:rPr>
          <w:lang w:val="ru-RU"/>
        </w:rPr>
        <w:t xml:space="preserve"> вариант – 3</w:t>
      </w:r>
      <w:r>
        <w:rPr/>
        <w:t xml:space="preserve">a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Исходные данные по производственному корпусу</w:t>
      </w:r>
    </w:p>
    <w:tbl>
      <w:tblGrid>
        <w:gridCol w:w="1395" w:type="dxa"/>
        <w:gridCol w:w="1410" w:type="dxa"/>
        <w:gridCol w:w="1695" w:type="dxa"/>
        <w:gridCol w:w="2850" w:type="dxa"/>
        <w:gridCol w:w="2115" w:type="dxa"/>
      </w:tblGrid>
      <w:tblPr>
        <w:tblW w:w="9630" w:type="dxa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1395" w:type="dxa"/>
            <w:noWrap/>
          </w:tcPr>
          <w:p>
            <w:pPr>
              <w:jc w:val="start"/>
            </w:pPr>
            <w:r>
              <w:rPr/>
              <w:t xml:space="preserve">Вариант</w:t>
            </w:r>
          </w:p>
        </w:tc>
        <w:tc>
          <w:tcPr>
            <w:tcW w:w="8145" w:type="dxa"/>
            <w:gridSpan w:val="4"/>
            <w:noWrap/>
          </w:tcPr>
          <w:p>
            <w:pPr>
              <w:jc w:val="start"/>
            </w:pPr>
            <w:r>
              <w:rPr/>
              <w:t xml:space="preserve">Строительные параметры производственного корпуса</w:t>
            </w:r>
          </w:p>
        </w:tc>
      </w:tr>
      <w:tr>
        <w:trPr/>
        <w:tc>
          <w:tcPr>
            <w:tcW w:w="1410" w:type="dxa"/>
            <w:noWrap/>
          </w:tcPr>
          <w:p>
            <w:pPr>
              <w:jc w:val="start"/>
            </w:pPr>
            <w:r>
              <w:rPr/>
              <w:t xml:space="preserve">Длина</w:t>
            </w:r>
            <w:r>
              <w:rPr>
                <w:lang w:val="ru-RU"/>
              </w:rPr>
              <w:t xml:space="preserve"> </w:t>
            </w:r>
            <w:r>
              <w:rPr/>
              <w:t xml:space="preserve">А</w:t>
            </w:r>
          </w:p>
          <w:p>
            <w:pPr>
              <w:jc w:val="start"/>
            </w:pPr>
            <w:r>
              <w:rPr/>
              <w:t xml:space="preserve">в м.</w:t>
            </w:r>
          </w:p>
        </w:tc>
        <w:tc>
          <w:tcPr>
            <w:tcW w:w="1695" w:type="dxa"/>
            <w:noWrap/>
          </w:tcPr>
          <w:p>
            <w:pPr>
              <w:jc w:val="start"/>
            </w:pPr>
            <w:r>
              <w:rPr/>
              <w:t xml:space="preserve">Ширина</w:t>
            </w:r>
            <w:r>
              <w:rPr>
                <w:lang w:val="ru-RU"/>
              </w:rPr>
              <w:t xml:space="preserve"> </w:t>
            </w:r>
            <w:r>
              <w:rPr/>
              <w:t xml:space="preserve">В</w:t>
            </w:r>
          </w:p>
          <w:p>
            <w:pPr>
              <w:jc w:val="start"/>
            </w:pPr>
            <w:r>
              <w:rPr/>
              <w:t xml:space="preserve">в м.</w:t>
            </w:r>
          </w:p>
        </w:tc>
        <w:tc>
          <w:tcPr>
            <w:tcW w:w="2850" w:type="dxa"/>
            <w:noWrap/>
          </w:tcPr>
          <w:p>
            <w:pPr>
              <w:jc w:val="start"/>
            </w:pPr>
            <w:r>
              <w:rPr>
                <w:lang w:val="ru-RU"/>
              </w:rPr>
              <w:t xml:space="preserve">Высота помещения </w:t>
            </w:r>
            <w:r>
              <w:rPr>
                <w:i w:val="1"/>
                <w:iCs w:val="1"/>
              </w:rPr>
              <w:t xml:space="preserve">Hno</w:t>
            </w:r>
            <w:r>
              <w:rPr>
                <w:lang w:val="ru-RU"/>
                <w:i w:val="1"/>
                <w:iCs w:val="1"/>
              </w:rPr>
              <w:t xml:space="preserve">м,</w:t>
            </w:r>
            <w:r>
              <w:rPr>
                <w:lang w:val="ru-RU"/>
              </w:rPr>
              <w:t xml:space="preserve"> м.</w:t>
            </w:r>
          </w:p>
        </w:tc>
        <w:tc>
          <w:tcPr>
            <w:tcW w:w="2115" w:type="dxa"/>
            <w:noWrap/>
          </w:tcPr>
          <w:p>
            <w:pPr>
              <w:jc w:val="start"/>
            </w:pPr>
            <w:r>
              <w:rPr/>
              <w:t xml:space="preserve">Грузоподъемность крана,</w:t>
            </w:r>
            <w:r>
              <w:rPr>
                <w:lang w:val="ru-RU"/>
              </w:rPr>
              <w:t xml:space="preserve"> </w:t>
            </w:r>
            <w:r>
              <w:rPr/>
              <w:t xml:space="preserve">Q,</w:t>
            </w:r>
            <w:r>
              <w:rPr>
                <w:lang w:val="ru-RU"/>
              </w:rPr>
              <w:t xml:space="preserve"> </w:t>
            </w:r>
            <w:r>
              <w:rPr/>
              <w:t xml:space="preserve">тн.</w:t>
            </w:r>
          </w:p>
        </w:tc>
      </w:tr>
      <w:tr>
        <w:trPr/>
        <w:tc>
          <w:tcPr>
            <w:tcW w:w="1395" w:type="dxa"/>
            <w:vAlign w:val="top"/>
            <w:noWrap/>
          </w:tcPr>
          <w:p>
            <w:pPr>
              <w:jc w:val="start"/>
            </w:pPr>
            <w:r>
              <w:rPr/>
              <w:t xml:space="preserve">1</w:t>
            </w:r>
          </w:p>
        </w:tc>
        <w:tc>
          <w:tcPr>
            <w:tcW w:w="1410" w:type="dxa"/>
            <w:vAlign w:val="top"/>
            <w:noWrap/>
          </w:tcPr>
          <w:p>
            <w:pPr>
              <w:jc w:val="start"/>
            </w:pPr>
            <w:r>
              <w:rPr/>
              <w:t xml:space="preserve">72</w:t>
            </w:r>
          </w:p>
        </w:tc>
        <w:tc>
          <w:tcPr>
            <w:tcW w:w="1695" w:type="dxa"/>
            <w:vAlign w:val="top"/>
            <w:noWrap/>
          </w:tcPr>
          <w:p>
            <w:pPr>
              <w:jc w:val="start"/>
            </w:pPr>
            <w:r>
              <w:rPr/>
              <w:t xml:space="preserve">36</w:t>
            </w:r>
          </w:p>
        </w:tc>
        <w:tc>
          <w:tcPr>
            <w:tcW w:w="2850" w:type="dxa"/>
            <w:vAlign w:val="top"/>
            <w:noWrap/>
          </w:tcPr>
          <w:p>
            <w:pPr>
              <w:jc w:val="start"/>
            </w:pPr>
            <w:r>
              <w:rPr/>
              <w:t xml:space="preserve">10,8</w:t>
            </w:r>
          </w:p>
        </w:tc>
        <w:tc>
          <w:tcPr>
            <w:tcW w:w="2115" w:type="dxa"/>
            <w:vAlign w:val="top"/>
            <w:noWrap/>
          </w:tcPr>
          <w:p>
            <w:pPr>
              <w:jc w:val="start"/>
            </w:pPr>
            <w:r>
              <w:rPr/>
              <w:t xml:space="preserve">10</w:t>
            </w:r>
          </w:p>
        </w:tc>
      </w:tr>
      <w:tr>
        <w:trPr/>
        <w:tc>
          <w:tcPr>
            <w:tcW w:w="1395" w:type="dxa"/>
            <w:vAlign w:val="top"/>
            <w:noWrap/>
          </w:tcPr>
          <w:p>
            <w:pPr>
              <w:jc w:val="start"/>
            </w:pPr>
            <w:r>
              <w:rPr/>
              <w:t xml:space="preserve">2</w:t>
            </w:r>
          </w:p>
        </w:tc>
        <w:tc>
          <w:tcPr>
            <w:tcW w:w="1410" w:type="dxa"/>
            <w:vAlign w:val="top"/>
            <w:noWrap/>
          </w:tcPr>
          <w:p>
            <w:pPr>
              <w:jc w:val="start"/>
            </w:pPr>
            <w:r>
              <w:rPr/>
              <w:t xml:space="preserve">60</w:t>
            </w:r>
          </w:p>
        </w:tc>
        <w:tc>
          <w:tcPr>
            <w:tcW w:w="1695" w:type="dxa"/>
            <w:vAlign w:val="top"/>
            <w:noWrap/>
          </w:tcPr>
          <w:p>
            <w:pPr>
              <w:jc w:val="start"/>
            </w:pPr>
            <w:r>
              <w:rPr/>
              <w:t xml:space="preserve">30</w:t>
            </w:r>
          </w:p>
        </w:tc>
        <w:tc>
          <w:tcPr>
            <w:tcW w:w="2850" w:type="dxa"/>
            <w:vAlign w:val="top"/>
            <w:noWrap/>
          </w:tcPr>
          <w:p>
            <w:pPr>
              <w:jc w:val="start"/>
            </w:pPr>
            <w:r>
              <w:rPr/>
              <w:t xml:space="preserve">12</w:t>
            </w:r>
          </w:p>
        </w:tc>
        <w:tc>
          <w:tcPr>
            <w:tcW w:w="2115" w:type="dxa"/>
            <w:vAlign w:val="top"/>
            <w:noWrap/>
          </w:tcPr>
          <w:p>
            <w:pPr>
              <w:jc w:val="start"/>
            </w:pPr>
            <w:r>
              <w:rPr/>
              <w:t xml:space="preserve">10</w:t>
            </w:r>
          </w:p>
        </w:tc>
      </w:tr>
      <w:tr>
        <w:trPr/>
        <w:tc>
          <w:tcPr>
            <w:tcW w:w="1395" w:type="dxa"/>
            <w:vAlign w:val="top"/>
            <w:noWrap/>
          </w:tcPr>
          <w:p>
            <w:pPr>
              <w:jc w:val="start"/>
            </w:pPr>
            <w:r>
              <w:rPr/>
              <w:t xml:space="preserve">3</w:t>
            </w:r>
          </w:p>
        </w:tc>
        <w:tc>
          <w:tcPr>
            <w:tcW w:w="1410" w:type="dxa"/>
            <w:vAlign w:val="top"/>
            <w:noWrap/>
          </w:tcPr>
          <w:p>
            <w:pPr>
              <w:jc w:val="start"/>
            </w:pPr>
            <w:r>
              <w:rPr/>
              <w:t xml:space="preserve">66</w:t>
            </w:r>
          </w:p>
        </w:tc>
        <w:tc>
          <w:tcPr>
            <w:tcW w:w="1695" w:type="dxa"/>
            <w:vAlign w:val="top"/>
            <w:noWrap/>
          </w:tcPr>
          <w:p>
            <w:pPr>
              <w:jc w:val="start"/>
            </w:pPr>
            <w:r>
              <w:rPr/>
              <w:t xml:space="preserve">48</w:t>
            </w:r>
          </w:p>
        </w:tc>
        <w:tc>
          <w:tcPr>
            <w:tcW w:w="2850" w:type="dxa"/>
            <w:vAlign w:val="top"/>
            <w:noWrap/>
          </w:tcPr>
          <w:p>
            <w:pPr>
              <w:jc w:val="start"/>
            </w:pPr>
            <w:r>
              <w:rPr/>
              <w:t xml:space="preserve">10,8</w:t>
            </w:r>
          </w:p>
        </w:tc>
        <w:tc>
          <w:tcPr>
            <w:tcW w:w="2115" w:type="dxa"/>
            <w:vAlign w:val="top"/>
            <w:noWrap/>
          </w:tcPr>
          <w:p>
            <w:pPr>
              <w:jc w:val="start"/>
            </w:pPr>
            <w:r>
              <w:rPr/>
              <w:t xml:space="preserve">5</w:t>
            </w:r>
          </w:p>
        </w:tc>
      </w:tr>
      <w:tr>
        <w:trPr/>
        <w:tc>
          <w:tcPr>
            <w:tcW w:w="1395" w:type="dxa"/>
            <w:vAlign w:val="top"/>
            <w:noWrap/>
          </w:tcPr>
          <w:p>
            <w:pPr>
              <w:jc w:val="start"/>
            </w:pPr>
            <w:r>
              <w:rPr/>
              <w:t xml:space="preserve">4</w:t>
            </w:r>
          </w:p>
        </w:tc>
        <w:tc>
          <w:tcPr>
            <w:tcW w:w="1410" w:type="dxa"/>
            <w:vAlign w:val="top"/>
            <w:noWrap/>
          </w:tcPr>
          <w:p>
            <w:pPr>
              <w:jc w:val="start"/>
            </w:pPr>
            <w:r>
              <w:rPr/>
              <w:t xml:space="preserve">72</w:t>
            </w:r>
          </w:p>
        </w:tc>
        <w:tc>
          <w:tcPr>
            <w:tcW w:w="1695" w:type="dxa"/>
            <w:vAlign w:val="top"/>
            <w:noWrap/>
          </w:tcPr>
          <w:p>
            <w:pPr>
              <w:jc w:val="start"/>
            </w:pPr>
            <w:r>
              <w:rPr/>
              <w:t xml:space="preserve">30</w:t>
            </w:r>
          </w:p>
        </w:tc>
        <w:tc>
          <w:tcPr>
            <w:tcW w:w="2850" w:type="dxa"/>
            <w:vAlign w:val="top"/>
            <w:noWrap/>
          </w:tcPr>
          <w:p>
            <w:pPr>
              <w:jc w:val="start"/>
            </w:pPr>
            <w:r>
              <w:rPr/>
              <w:t xml:space="preserve">9</w:t>
            </w:r>
          </w:p>
        </w:tc>
        <w:tc>
          <w:tcPr>
            <w:tcW w:w="2115" w:type="dxa"/>
            <w:vAlign w:val="top"/>
            <w:noWrap/>
          </w:tcPr>
          <w:p>
            <w:pPr>
              <w:jc w:val="start"/>
            </w:pPr>
            <w:r>
              <w:rPr/>
              <w:t xml:space="preserve">5</w:t>
            </w:r>
          </w:p>
        </w:tc>
      </w:tr>
      <w:tr>
        <w:trPr/>
        <w:tc>
          <w:tcPr>
            <w:tcW w:w="1395" w:type="dxa"/>
            <w:vAlign w:val="top"/>
            <w:noWrap/>
          </w:tcPr>
          <w:p>
            <w:pPr>
              <w:jc w:val="start"/>
            </w:pPr>
            <w:r>
              <w:rPr/>
              <w:t xml:space="preserve">5</w:t>
            </w:r>
          </w:p>
        </w:tc>
        <w:tc>
          <w:tcPr>
            <w:tcW w:w="1410" w:type="dxa"/>
            <w:vAlign w:val="top"/>
            <w:noWrap/>
          </w:tcPr>
          <w:p>
            <w:pPr>
              <w:jc w:val="start"/>
            </w:pPr>
            <w:r>
              <w:rPr/>
              <w:t xml:space="preserve">60</w:t>
            </w:r>
          </w:p>
        </w:tc>
        <w:tc>
          <w:tcPr>
            <w:tcW w:w="1695" w:type="dxa"/>
            <w:vAlign w:val="top"/>
            <w:noWrap/>
          </w:tcPr>
          <w:p>
            <w:pPr>
              <w:jc w:val="start"/>
            </w:pPr>
            <w:r>
              <w:rPr/>
              <w:t xml:space="preserve">36</w:t>
            </w:r>
          </w:p>
        </w:tc>
        <w:tc>
          <w:tcPr>
            <w:tcW w:w="2850" w:type="dxa"/>
            <w:vAlign w:val="top"/>
            <w:noWrap/>
          </w:tcPr>
          <w:p>
            <w:pPr>
              <w:jc w:val="start"/>
            </w:pPr>
            <w:r>
              <w:rPr/>
              <w:t xml:space="preserve">8,4</w:t>
            </w:r>
          </w:p>
        </w:tc>
        <w:tc>
          <w:tcPr>
            <w:tcW w:w="2115" w:type="dxa"/>
            <w:vAlign w:val="top"/>
            <w:noWrap/>
          </w:tcPr>
          <w:p>
            <w:pPr>
              <w:jc w:val="start"/>
            </w:pPr>
            <w:r>
              <w:rPr/>
              <w:t xml:space="preserve">10</w:t>
            </w:r>
          </w:p>
        </w:tc>
      </w:tr>
      <w:tr>
        <w:trPr/>
        <w:tc>
          <w:tcPr>
            <w:tcW w:w="1395" w:type="dxa"/>
            <w:vAlign w:val="top"/>
            <w:noWrap/>
          </w:tcPr>
          <w:p>
            <w:pPr>
              <w:jc w:val="start"/>
            </w:pPr>
            <w:r>
              <w:rPr/>
              <w:t xml:space="preserve">6</w:t>
            </w:r>
          </w:p>
        </w:tc>
        <w:tc>
          <w:tcPr>
            <w:tcW w:w="1410" w:type="dxa"/>
            <w:vAlign w:val="top"/>
            <w:noWrap/>
          </w:tcPr>
          <w:p>
            <w:pPr>
              <w:jc w:val="start"/>
            </w:pPr>
            <w:r>
              <w:rPr/>
              <w:t xml:space="preserve">66</w:t>
            </w:r>
          </w:p>
        </w:tc>
        <w:tc>
          <w:tcPr>
            <w:tcW w:w="1695" w:type="dxa"/>
            <w:vAlign w:val="top"/>
            <w:noWrap/>
          </w:tcPr>
          <w:p>
            <w:pPr>
              <w:jc w:val="start"/>
            </w:pPr>
            <w:r>
              <w:rPr/>
              <w:t xml:space="preserve">30</w:t>
            </w:r>
          </w:p>
        </w:tc>
        <w:tc>
          <w:tcPr>
            <w:tcW w:w="2850" w:type="dxa"/>
            <w:vAlign w:val="top"/>
            <w:noWrap/>
          </w:tcPr>
          <w:p>
            <w:pPr>
              <w:jc w:val="start"/>
            </w:pPr>
            <w:r>
              <w:rPr/>
              <w:t xml:space="preserve">10,8</w:t>
            </w:r>
          </w:p>
        </w:tc>
        <w:tc>
          <w:tcPr>
            <w:tcW w:w="2115" w:type="dxa"/>
            <w:vAlign w:val="top"/>
            <w:noWrap/>
          </w:tcPr>
          <w:p>
            <w:pPr>
              <w:jc w:val="start"/>
            </w:pPr>
            <w:r>
              <w:rPr/>
              <w:t xml:space="preserve">15</w:t>
            </w:r>
          </w:p>
        </w:tc>
      </w:tr>
    </w:tbl>
    <w:p>
      <w:pPr/>
      <w:r>
        <w:rPr/>
        <w:t xml:space="preserve"> </w:t>
      </w:r>
    </w:p>
    <w:p>
      <w:pPr/>
      <w:r>
        <w:rPr>
          <w:lang w:val="ru-RU"/>
        </w:rPr>
        <w:t xml:space="preserve">Исходные данные по гардеробно-душевому блоку</w:t>
      </w:r>
    </w:p>
    <w:tbl>
      <w:tblGrid>
        <w:gridCol w:w="840" w:type="dxa"/>
        <w:gridCol w:w="1140" w:type="dxa"/>
        <w:gridCol w:w="885" w:type="dxa"/>
        <w:gridCol w:w="1110" w:type="dxa"/>
        <w:gridCol w:w="1530" w:type="dxa"/>
        <w:gridCol w:w="840" w:type="dxa"/>
        <w:gridCol w:w="1545" w:type="dxa"/>
        <w:gridCol w:w="1485" w:type="dxa"/>
      </w:tblGrid>
      <w:tblPr>
        <w:tblW w:w="9630" w:type="dxa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840" w:type="dxa"/>
            <w:noWrap/>
          </w:tcPr>
          <w:p>
            <w:pPr>
              <w:jc w:val="start"/>
            </w:pPr>
            <w:r>
              <w:rPr>
                <w:lang w:val="ru-RU"/>
              </w:rPr>
              <w:t xml:space="preserve">В</w:t>
            </w:r>
            <w:r>
              <w:rPr/>
              <w:t xml:space="preserve">ариант</w:t>
            </w:r>
          </w:p>
        </w:tc>
        <w:tc>
          <w:tcPr>
            <w:tcW w:w="3210" w:type="dxa"/>
            <w:gridSpan w:val="3"/>
            <w:noWrap/>
          </w:tcPr>
          <w:p>
            <w:pPr>
              <w:jc w:val="start"/>
            </w:pPr>
            <w:r>
              <w:rPr/>
              <w:t xml:space="preserve">Строительные параметры вспомогательного корпуса</w:t>
            </w:r>
          </w:p>
        </w:tc>
        <w:tc>
          <w:tcPr>
            <w:tcW w:w="2400" w:type="dxa"/>
            <w:gridSpan w:val="2"/>
            <w:noWrap/>
          </w:tcPr>
          <w:p>
            <w:pPr>
              <w:jc w:val="start"/>
            </w:pPr>
            <w:r>
              <w:rPr/>
              <w:t xml:space="preserve">Количество работающих</w:t>
            </w:r>
          </w:p>
        </w:tc>
        <w:tc>
          <w:tcPr>
            <w:tcW w:w="1545" w:type="dxa"/>
            <w:noWrap/>
          </w:tcPr>
          <w:p>
            <w:pPr>
              <w:jc w:val="start"/>
            </w:pPr>
            <w:r>
              <w:rPr/>
              <w:t xml:space="preserve">Число смен</w:t>
            </w:r>
          </w:p>
        </w:tc>
        <w:tc>
          <w:tcPr>
            <w:tcW w:w="1485" w:type="dxa"/>
            <w:noWrap/>
          </w:tcPr>
          <w:p>
            <w:pPr>
              <w:jc w:val="start"/>
            </w:pPr>
            <w:r>
              <w:rPr/>
              <w:t xml:space="preserve">Максимальная смена в %</w:t>
            </w:r>
          </w:p>
        </w:tc>
      </w:tr>
      <w:tr>
        <w:trPr/>
        <w:tc>
          <w:tcPr>
            <w:tcW w:w="1140" w:type="dxa"/>
            <w:noWrap/>
          </w:tcPr>
          <w:p>
            <w:pPr>
              <w:jc w:val="start"/>
            </w:pPr>
            <w:r>
              <w:rPr/>
              <w:t xml:space="preserve">Ширина в м.</w:t>
            </w:r>
          </w:p>
        </w:tc>
        <w:tc>
          <w:tcPr>
            <w:tcW w:w="885" w:type="dxa"/>
            <w:noWrap/>
          </w:tcPr>
          <w:p>
            <w:pPr>
              <w:jc w:val="start"/>
            </w:pPr>
            <w:r>
              <w:rPr/>
              <w:t xml:space="preserve">Длина   в м.</w:t>
            </w:r>
          </w:p>
        </w:tc>
        <w:tc>
          <w:tcPr>
            <w:tcW w:w="1110" w:type="dxa"/>
            <w:noWrap/>
          </w:tcPr>
          <w:p>
            <w:pPr>
              <w:jc w:val="start"/>
            </w:pPr>
            <w:r>
              <w:rPr/>
              <w:t xml:space="preserve">Число этажей</w:t>
            </w:r>
            <w:r>
              <w:rPr>
                <w:lang w:val="ru-RU"/>
              </w:rPr>
              <w:t xml:space="preserve"> </w:t>
            </w:r>
            <w:r>
              <w:rPr/>
              <w:t xml:space="preserve">по проекту</w:t>
            </w:r>
          </w:p>
        </w:tc>
        <w:tc>
          <w:tcPr>
            <w:tcW w:w="1530" w:type="dxa"/>
            <w:noWrap/>
          </w:tcPr>
          <w:p>
            <w:pPr>
              <w:jc w:val="start"/>
            </w:pPr>
            <w:r>
              <w:rPr/>
              <w:t xml:space="preserve">мужчин</w:t>
            </w:r>
          </w:p>
        </w:tc>
        <w:tc>
          <w:tcPr>
            <w:tcW w:w="840" w:type="dxa"/>
            <w:noWrap/>
          </w:tcPr>
          <w:p>
            <w:pPr>
              <w:jc w:val="start"/>
            </w:pPr>
            <w:r>
              <w:rPr/>
              <w:t xml:space="preserve">женщин</w:t>
            </w:r>
          </w:p>
        </w:tc>
      </w:tr>
      <w:tr>
        <w:trPr/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>
                <w:lang w:val="ru-RU"/>
              </w:rPr>
              <w:t xml:space="preserve">1</w:t>
            </w:r>
          </w:p>
        </w:tc>
        <w:tc>
          <w:tcPr>
            <w:tcW w:w="1140" w:type="dxa"/>
            <w:vAlign w:val="top"/>
            <w:noWrap/>
          </w:tcPr>
          <w:p>
            <w:pPr>
              <w:jc w:val="start"/>
            </w:pPr>
            <w:r>
              <w:rPr/>
              <w:t xml:space="preserve">11</w:t>
            </w:r>
          </w:p>
        </w:tc>
        <w:tc>
          <w:tcPr>
            <w:tcW w:w="885" w:type="dxa"/>
            <w:vAlign w:val="top"/>
            <w:noWrap/>
          </w:tcPr>
          <w:p>
            <w:pPr>
              <w:jc w:val="start"/>
            </w:pPr>
            <w:r>
              <w:rPr/>
              <w:t xml:space="preserve">18</w:t>
            </w:r>
          </w:p>
        </w:tc>
        <w:tc>
          <w:tcPr>
            <w:tcW w:w="1110" w:type="dxa"/>
            <w:vAlign w:val="top"/>
            <w:noWrap/>
          </w:tcPr>
          <w:p>
            <w:pPr>
              <w:jc w:val="start"/>
            </w:pPr>
            <w:r>
              <w:rPr/>
              <w:t xml:space="preserve">1</w:t>
            </w:r>
          </w:p>
        </w:tc>
        <w:tc>
          <w:tcPr>
            <w:tcW w:w="1530" w:type="dxa"/>
            <w:vAlign w:val="top"/>
            <w:noWrap/>
          </w:tcPr>
          <w:p>
            <w:pPr>
              <w:jc w:val="start"/>
            </w:pPr>
            <w:r>
              <w:rPr/>
              <w:t xml:space="preserve">150</w:t>
            </w:r>
          </w:p>
        </w:tc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/>
              <w:t xml:space="preserve">150</w:t>
            </w:r>
          </w:p>
        </w:tc>
        <w:tc>
          <w:tcPr>
            <w:tcW w:w="1545" w:type="dxa"/>
            <w:vAlign w:val="top"/>
            <w:noWrap/>
          </w:tcPr>
          <w:p>
            <w:pPr>
              <w:jc w:val="start"/>
            </w:pPr>
            <w:r>
              <w:rPr/>
              <w:t xml:space="preserve">3</w:t>
            </w:r>
          </w:p>
        </w:tc>
        <w:tc>
          <w:tcPr>
            <w:tcW w:w="1485" w:type="dxa"/>
            <w:vAlign w:val="top"/>
            <w:noWrap/>
          </w:tcPr>
          <w:p>
            <w:pPr>
              <w:jc w:val="start"/>
            </w:pPr>
            <w:r>
              <w:rPr/>
              <w:t xml:space="preserve">40</w:t>
            </w:r>
          </w:p>
        </w:tc>
      </w:tr>
      <w:tr>
        <w:trPr/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>
                <w:lang w:val="ru-RU"/>
              </w:rPr>
              <w:t xml:space="preserve">2</w:t>
            </w:r>
          </w:p>
        </w:tc>
        <w:tc>
          <w:tcPr>
            <w:tcW w:w="1140" w:type="dxa"/>
            <w:vAlign w:val="top"/>
            <w:noWrap/>
          </w:tcPr>
          <w:p>
            <w:pPr>
              <w:jc w:val="start"/>
            </w:pPr>
            <w:r>
              <w:rPr/>
              <w:t xml:space="preserve">02</w:t>
            </w:r>
          </w:p>
        </w:tc>
        <w:tc>
          <w:tcPr>
            <w:tcW w:w="885" w:type="dxa"/>
            <w:vAlign w:val="top"/>
            <w:noWrap/>
          </w:tcPr>
          <w:p>
            <w:pPr>
              <w:jc w:val="start"/>
            </w:pPr>
            <w:r>
              <w:rPr/>
              <w:t xml:space="preserve">12</w:t>
            </w:r>
          </w:p>
        </w:tc>
        <w:tc>
          <w:tcPr>
            <w:tcW w:w="1110" w:type="dxa"/>
            <w:vAlign w:val="top"/>
            <w:noWrap/>
          </w:tcPr>
          <w:p>
            <w:pPr>
              <w:jc w:val="start"/>
            </w:pPr>
            <w:r>
              <w:rPr/>
              <w:t xml:space="preserve">2</w:t>
            </w:r>
          </w:p>
        </w:tc>
        <w:tc>
          <w:tcPr>
            <w:tcW w:w="1530" w:type="dxa"/>
            <w:vAlign w:val="top"/>
            <w:noWrap/>
          </w:tcPr>
          <w:p>
            <w:pPr>
              <w:jc w:val="start"/>
            </w:pPr>
            <w:r>
              <w:rPr/>
              <w:t xml:space="preserve">160</w:t>
            </w:r>
          </w:p>
        </w:tc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/>
              <w:t xml:space="preserve">140</w:t>
            </w:r>
          </w:p>
        </w:tc>
        <w:tc>
          <w:tcPr>
            <w:tcW w:w="1545" w:type="dxa"/>
            <w:vAlign w:val="top"/>
            <w:noWrap/>
          </w:tcPr>
          <w:p>
            <w:pPr>
              <w:jc w:val="start"/>
            </w:pPr>
            <w:r>
              <w:rPr/>
              <w:t xml:space="preserve">2</w:t>
            </w:r>
          </w:p>
        </w:tc>
        <w:tc>
          <w:tcPr>
            <w:tcW w:w="1485" w:type="dxa"/>
            <w:vAlign w:val="top"/>
            <w:noWrap/>
          </w:tcPr>
          <w:p>
            <w:pPr>
              <w:jc w:val="start"/>
            </w:pPr>
            <w:r>
              <w:rPr/>
              <w:t xml:space="preserve">60</w:t>
            </w:r>
          </w:p>
        </w:tc>
      </w:tr>
      <w:tr>
        <w:trPr/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>
                <w:lang w:val="ru-RU"/>
              </w:rPr>
              <w:t xml:space="preserve">3</w:t>
            </w:r>
          </w:p>
        </w:tc>
        <w:tc>
          <w:tcPr>
            <w:tcW w:w="1140" w:type="dxa"/>
            <w:vAlign w:val="top"/>
            <w:noWrap/>
          </w:tcPr>
          <w:p>
            <w:pPr>
              <w:jc w:val="start"/>
            </w:pPr>
            <w:r>
              <w:rPr/>
              <w:t xml:space="preserve">33</w:t>
            </w:r>
          </w:p>
        </w:tc>
        <w:tc>
          <w:tcPr>
            <w:tcW w:w="885" w:type="dxa"/>
            <w:vAlign w:val="top"/>
            <w:noWrap/>
          </w:tcPr>
          <w:p>
            <w:pPr>
              <w:jc w:val="start"/>
            </w:pPr>
            <w:r>
              <w:rPr/>
              <w:t xml:space="preserve">15</w:t>
            </w:r>
          </w:p>
        </w:tc>
        <w:tc>
          <w:tcPr>
            <w:tcW w:w="1110" w:type="dxa"/>
            <w:vAlign w:val="top"/>
            <w:noWrap/>
          </w:tcPr>
          <w:p>
            <w:pPr>
              <w:jc w:val="start"/>
            </w:pPr>
            <w:r>
              <w:rPr/>
              <w:t xml:space="preserve">2</w:t>
            </w:r>
          </w:p>
        </w:tc>
        <w:tc>
          <w:tcPr>
            <w:tcW w:w="1530" w:type="dxa"/>
            <w:vAlign w:val="top"/>
            <w:noWrap/>
          </w:tcPr>
          <w:p>
            <w:pPr>
              <w:jc w:val="start"/>
            </w:pPr>
            <w:r>
              <w:rPr/>
              <w:t xml:space="preserve">130</w:t>
            </w:r>
          </w:p>
        </w:tc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/>
              <w:t xml:space="preserve">170</w:t>
            </w:r>
          </w:p>
        </w:tc>
        <w:tc>
          <w:tcPr>
            <w:tcW w:w="1545" w:type="dxa"/>
            <w:vAlign w:val="top"/>
            <w:noWrap/>
          </w:tcPr>
          <w:p>
            <w:pPr>
              <w:jc w:val="start"/>
            </w:pPr>
            <w:r>
              <w:rPr/>
              <w:t xml:space="preserve">3</w:t>
            </w:r>
          </w:p>
        </w:tc>
        <w:tc>
          <w:tcPr>
            <w:tcW w:w="1485" w:type="dxa"/>
            <w:vAlign w:val="top"/>
            <w:noWrap/>
          </w:tcPr>
          <w:p>
            <w:pPr>
              <w:jc w:val="start"/>
            </w:pPr>
            <w:r>
              <w:rPr/>
              <w:t xml:space="preserve">40</w:t>
            </w:r>
          </w:p>
        </w:tc>
      </w:tr>
      <w:tr>
        <w:trPr/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>
                <w:lang w:val="ru-RU"/>
              </w:rPr>
              <w:t xml:space="preserve">4</w:t>
            </w:r>
          </w:p>
        </w:tc>
        <w:tc>
          <w:tcPr>
            <w:tcW w:w="1140" w:type="dxa"/>
            <w:vAlign w:val="top"/>
            <w:noWrap/>
          </w:tcPr>
          <w:p>
            <w:pPr>
              <w:jc w:val="start"/>
            </w:pPr>
            <w:r>
              <w:rPr/>
              <w:t xml:space="preserve">04</w:t>
            </w:r>
          </w:p>
        </w:tc>
        <w:tc>
          <w:tcPr>
            <w:tcW w:w="885" w:type="dxa"/>
            <w:vAlign w:val="top"/>
            <w:noWrap/>
          </w:tcPr>
          <w:p>
            <w:pPr>
              <w:jc w:val="start"/>
            </w:pPr>
            <w:r>
              <w:rPr/>
              <w:t xml:space="preserve">18</w:t>
            </w:r>
          </w:p>
        </w:tc>
        <w:tc>
          <w:tcPr>
            <w:tcW w:w="1110" w:type="dxa"/>
            <w:vAlign w:val="top"/>
            <w:noWrap/>
          </w:tcPr>
          <w:p>
            <w:pPr>
              <w:jc w:val="start"/>
            </w:pPr>
            <w:r>
              <w:rPr/>
              <w:t xml:space="preserve">1</w:t>
            </w:r>
          </w:p>
        </w:tc>
        <w:tc>
          <w:tcPr>
            <w:tcW w:w="1530" w:type="dxa"/>
            <w:vAlign w:val="top"/>
            <w:noWrap/>
          </w:tcPr>
          <w:p>
            <w:pPr>
              <w:jc w:val="start"/>
            </w:pPr>
            <w:r>
              <w:rPr/>
              <w:t xml:space="preserve">160</w:t>
            </w:r>
          </w:p>
        </w:tc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/>
              <w:t xml:space="preserve">160</w:t>
            </w:r>
          </w:p>
        </w:tc>
        <w:tc>
          <w:tcPr>
            <w:tcW w:w="1545" w:type="dxa"/>
            <w:vAlign w:val="top"/>
            <w:noWrap/>
          </w:tcPr>
          <w:p>
            <w:pPr>
              <w:jc w:val="start"/>
            </w:pPr>
            <w:r>
              <w:rPr/>
              <w:t xml:space="preserve">2</w:t>
            </w:r>
          </w:p>
        </w:tc>
        <w:tc>
          <w:tcPr>
            <w:tcW w:w="1485" w:type="dxa"/>
            <w:vAlign w:val="top"/>
            <w:noWrap/>
          </w:tcPr>
          <w:p>
            <w:pPr>
              <w:jc w:val="start"/>
            </w:pPr>
            <w:r>
              <w:rPr/>
              <w:t xml:space="preserve">70</w:t>
            </w:r>
          </w:p>
        </w:tc>
      </w:tr>
      <w:tr>
        <w:trPr/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>
                <w:lang w:val="ru-RU"/>
              </w:rPr>
              <w:t xml:space="preserve">5</w:t>
            </w:r>
          </w:p>
        </w:tc>
        <w:tc>
          <w:tcPr>
            <w:tcW w:w="1140" w:type="dxa"/>
            <w:vAlign w:val="top"/>
            <w:noWrap/>
          </w:tcPr>
          <w:p>
            <w:pPr>
              <w:jc w:val="start"/>
            </w:pPr>
            <w:r>
              <w:rPr/>
              <w:t xml:space="preserve">05</w:t>
            </w:r>
          </w:p>
        </w:tc>
        <w:tc>
          <w:tcPr>
            <w:tcW w:w="885" w:type="dxa"/>
            <w:vAlign w:val="top"/>
            <w:noWrap/>
          </w:tcPr>
          <w:p>
            <w:pPr>
              <w:jc w:val="start"/>
            </w:pPr>
            <w:r>
              <w:rPr/>
              <w:t xml:space="preserve">15</w:t>
            </w:r>
          </w:p>
        </w:tc>
        <w:tc>
          <w:tcPr>
            <w:tcW w:w="1110" w:type="dxa"/>
            <w:vAlign w:val="top"/>
            <w:noWrap/>
          </w:tcPr>
          <w:p>
            <w:pPr>
              <w:jc w:val="start"/>
            </w:pPr>
            <w:r>
              <w:rPr/>
              <w:t xml:space="preserve">1</w:t>
            </w:r>
          </w:p>
        </w:tc>
        <w:tc>
          <w:tcPr>
            <w:tcW w:w="1530" w:type="dxa"/>
            <w:vAlign w:val="top"/>
            <w:noWrap/>
          </w:tcPr>
          <w:p>
            <w:pPr>
              <w:jc w:val="start"/>
            </w:pPr>
            <w:r>
              <w:rPr/>
              <w:t xml:space="preserve">150</w:t>
            </w:r>
          </w:p>
        </w:tc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/>
              <w:t xml:space="preserve">160</w:t>
            </w:r>
          </w:p>
        </w:tc>
        <w:tc>
          <w:tcPr>
            <w:tcW w:w="1545" w:type="dxa"/>
            <w:vAlign w:val="top"/>
            <w:noWrap/>
          </w:tcPr>
          <w:p>
            <w:pPr>
              <w:jc w:val="start"/>
            </w:pPr>
            <w:r>
              <w:rPr/>
              <w:t xml:space="preserve">3</w:t>
            </w:r>
          </w:p>
        </w:tc>
        <w:tc>
          <w:tcPr>
            <w:tcW w:w="1485" w:type="dxa"/>
            <w:vAlign w:val="top"/>
            <w:noWrap/>
          </w:tcPr>
          <w:p>
            <w:pPr>
              <w:jc w:val="start"/>
            </w:pPr>
            <w:r>
              <w:rPr/>
              <w:t xml:space="preserve">50</w:t>
            </w:r>
          </w:p>
        </w:tc>
      </w:tr>
      <w:tr>
        <w:trPr/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>
                <w:lang w:val="ru-RU"/>
              </w:rPr>
              <w:t xml:space="preserve">6</w:t>
            </w:r>
          </w:p>
        </w:tc>
        <w:tc>
          <w:tcPr>
            <w:tcW w:w="1140" w:type="dxa"/>
            <w:vAlign w:val="top"/>
            <w:noWrap/>
          </w:tcPr>
          <w:p>
            <w:pPr>
              <w:jc w:val="start"/>
            </w:pPr>
            <w:r>
              <w:rPr/>
              <w:t xml:space="preserve">06</w:t>
            </w:r>
          </w:p>
        </w:tc>
        <w:tc>
          <w:tcPr>
            <w:tcW w:w="885" w:type="dxa"/>
            <w:vAlign w:val="top"/>
            <w:noWrap/>
          </w:tcPr>
          <w:p>
            <w:pPr>
              <w:jc w:val="start"/>
            </w:pPr>
            <w:r>
              <w:rPr/>
              <w:t xml:space="preserve">12</w:t>
            </w:r>
          </w:p>
        </w:tc>
        <w:tc>
          <w:tcPr>
            <w:tcW w:w="1110" w:type="dxa"/>
            <w:vAlign w:val="top"/>
            <w:noWrap/>
          </w:tcPr>
          <w:p>
            <w:pPr>
              <w:jc w:val="start"/>
            </w:pPr>
            <w:r>
              <w:rPr/>
              <w:t xml:space="preserve">2</w:t>
            </w:r>
          </w:p>
        </w:tc>
        <w:tc>
          <w:tcPr>
            <w:tcW w:w="1530" w:type="dxa"/>
            <w:vAlign w:val="top"/>
            <w:noWrap/>
          </w:tcPr>
          <w:p>
            <w:pPr>
              <w:jc w:val="start"/>
            </w:pPr>
            <w:r>
              <w:rPr/>
              <w:t xml:space="preserve">140</w:t>
            </w:r>
          </w:p>
        </w:tc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/>
              <w:t xml:space="preserve">160</w:t>
            </w:r>
          </w:p>
        </w:tc>
        <w:tc>
          <w:tcPr>
            <w:tcW w:w="1545" w:type="dxa"/>
            <w:vAlign w:val="top"/>
            <w:noWrap/>
          </w:tcPr>
          <w:p>
            <w:pPr>
              <w:jc w:val="start"/>
            </w:pPr>
            <w:r>
              <w:rPr/>
              <w:t xml:space="preserve">2</w:t>
            </w:r>
          </w:p>
        </w:tc>
        <w:tc>
          <w:tcPr>
            <w:tcW w:w="1485" w:type="dxa"/>
            <w:vAlign w:val="top"/>
            <w:noWrap/>
          </w:tcPr>
          <w:p>
            <w:pPr>
              <w:jc w:val="start"/>
            </w:pPr>
            <w:r>
              <w:rPr/>
              <w:t xml:space="preserve">70</w:t>
            </w:r>
          </w:p>
        </w:tc>
      </w:tr>
    </w:tbl>
    <w:p>
      <w:pPr/>
      <w:r>
        <w:rPr/>
        <w:t xml:space="preserve"> </w:t>
      </w:r>
    </w:p>
    <w:p>
      <w:pPr/>
    </w:p>
    <w:p>
      <w:pPr/>
    </w:p>
    <w:p>
      <w:pPr/>
    </w:p>
    <w:p>
      <w:pPr/>
    </w:p>
    <w:p>
      <w:pPr/>
      <w:r>
        <w:rPr/>
        <w:t xml:space="preserve">Блок – схема зданий</w:t>
      </w:r>
      <w:r>
        <w:rPr>
          <w:b w:val="1"/>
          <w:bCs w:val="1"/>
        </w:rPr>
        <w:t xml:space="preserve">:</w:t>
      </w:r>
    </w:p>
    <w:p>
      <w:pPr/>
    </w:p>
    <w:p>
      <w:pPr/>
      <w:r>
        <w:rPr/>
        <w:t xml:space="preserve"> </w:t>
      </w:r>
    </w:p>
    <w:p>
      <w:pPr/>
    </w:p>
    <w:p>
      <w:pPr/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</w:p>
    <w:p>
      <w:pPr/>
      <w:r>
        <w:rPr/>
        <w:t xml:space="preserve"> Состав проекта</w:t>
      </w:r>
    </w:p>
    <w:p>
      <w:pPr/>
    </w:p>
    <w:p>
      <w:pPr/>
      <w:r>
        <w:rPr/>
        <w:t xml:space="preserve"> Графическая часть</w:t>
      </w:r>
      <w:r>
        <w:rPr>
          <w:lang w:val="ru-RU"/>
        </w:rPr>
        <w:t xml:space="preserve"> включает: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Фасад М 1:100</w:t>
      </w:r>
    </w:p>
    <w:p>
      <w:pPr>
        <w:numPr>
          <w:ilvl w:val="0"/>
          <w:numId w:val="2"/>
        </w:numPr>
      </w:pPr>
      <w:r>
        <w:rPr/>
        <w:t xml:space="preserve">План производственного корпуса М 1:400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План покрытия и кровли производственного корпуса М 1:400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Разрезы продольный и поперечный производственного корпуса М 1:100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2-3 узла, характерных для здания М 1:5; 1:10; 1:20</w:t>
      </w:r>
    </w:p>
    <w:p>
      <w:pPr>
        <w:numPr>
          <w:ilvl w:val="0"/>
          <w:numId w:val="2"/>
        </w:numPr>
      </w:pPr>
      <w:r>
        <w:rPr/>
        <w:t xml:space="preserve">План бытовых помещений М 1:100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Разрез пристройки бытовых помещений М 1:100</w:t>
      </w:r>
    </w:p>
    <w:p>
      <w:pPr>
        <w:jc w:val="start"/>
      </w:pPr>
      <w:r>
        <w:rPr>
          <w:lang w:val="ru-RU"/>
        </w:rPr>
        <w:t xml:space="preserve">Чертежи должны быть выполнены карандашом или в компьютерной графике на листе формата А</w:t>
      </w:r>
      <w:r>
        <w:rPr>
          <w:lang w:val="ru-RU"/>
          <w:vertAlign w:val="subscript"/>
        </w:rPr>
        <w:t xml:space="preserve">1</w:t>
      </w:r>
      <w:r>
        <w:rPr>
          <w:lang w:val="ru-RU"/>
        </w:rPr>
        <w:t xml:space="preserve">.</w:t>
      </w:r>
    </w:p>
    <w:p>
      <w:pPr/>
    </w:p>
    <w:p>
      <w:pPr/>
      <w:r>
        <w:rPr>
          <w:lang w:val="ru-RU"/>
        </w:rPr>
        <w:t xml:space="preserve">Пояснительная записка</w:t>
      </w:r>
    </w:p>
    <w:p>
      <w:pPr>
        <w:jc w:val="start"/>
      </w:pPr>
      <w:r>
        <w:rPr>
          <w:lang w:val="ru-RU"/>
        </w:rPr>
        <w:t xml:space="preserve">В состав пояснительной записки должны входить расчет бытовых помещений, описание объемно – планировочного и конструктивного решения гардеробно–душевого блока и конструктивного решения производственного здания. Пояснительная записка оформляется на писчей бумаге формата А4.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Критерии оценки курсового проекта:</w:t>
      </w:r>
    </w:p>
    <w:p>
      <w:pPr>
        <w:jc w:val="start"/>
      </w:pPr>
      <w:r>
        <w:rPr>
          <w:lang w:val="ru-RU"/>
        </w:rPr>
        <w:t xml:space="preserve">Оценку «отлично» заслуживает обучающийся, обнаруживший всесторонне систематизированные знания материала, самостоятельно выполнивший все предусмотренные проектом задания, освоивший основную и дополнительную литературу. В пояснительной записке материал изложен последовательно и логично. Применены рациональные решения. Чертежи выполнены на необходимом техническом уровне с соблюдением норм и правил стандарта. Работа безукоризненна в отношении оформления (орфография, ссылки). Все этапы выполнены в установленные сроки.</w:t>
      </w:r>
    </w:p>
    <w:p>
      <w:pPr>
        <w:jc w:val="start"/>
      </w:pPr>
      <w:r>
        <w:rPr>
          <w:lang w:val="ru-RU"/>
        </w:rPr>
        <w:t xml:space="preserve">Оценку «хорошо» заслуживает обучающийся, выполнивший курсовой проект с незначительными погрешностями, которые были исправлены им самостоятельно при защите курсового проекта.</w:t>
      </w:r>
    </w:p>
    <w:p>
      <w:pPr>
        <w:jc w:val="start"/>
      </w:pPr>
      <w:r>
        <w:rPr>
          <w:lang w:val="ru-RU"/>
        </w:rPr>
        <w:t xml:space="preserve">Оценку «удовлетворительно» заслуживает обучающийся, выполнивший курсовой проект с погрешностями, самостоятельное исправление которых было затруднительно или привело к значительному увеличению сроков сдачи курсового проекта. Оформление проекта не совсем соответствует требованиям. Недостаточно полно раскрыто предусмотренное проектом задание.</w:t>
      </w:r>
    </w:p>
    <w:p>
      <w:pPr>
        <w:jc w:val="start"/>
      </w:pPr>
      <w:r>
        <w:rPr>
          <w:lang w:val="ru-RU"/>
        </w:rPr>
        <w:t xml:space="preserve">Оценку «неудовлетворительно» заслуживает обучающийся, выполнивший курсовой проект в срок, значительно превышающий установленный графиком. Оформление проекта не соответствует требованиям: некоторые задания, предусмотренные проектом, не раскрыты или раскрыты неверно. При защите обучающийся проявил неуверенность в ответах, исправления погрешностей вызвали значительные трудности.</w:t>
      </w:r>
    </w:p>
    <w:p/>
    <w:p>
      <w:pPr/>
      <w:r>
        <w:rPr/>
        <w:t xml:space="preserve">Экзамен</w:t>
      </w:r>
    </w:p>
    <w:p>
      <w:pPr>
        <w:jc w:val="start"/>
      </w:pPr>
      <w:r>
        <w:rPr>
          <w:lang w:val="ru-RU"/>
        </w:rPr>
        <w:t xml:space="preserve">Экзамен проводится в виде собеседования по билетам. 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Перечень вопросов к экзаменационному собеседованию:</w:t>
      </w:r>
    </w:p>
    <w:p>
      <w:pPr>
        <w:numPr>
          <w:ilvl w:val="0"/>
          <w:numId w:val="3"/>
        </w:numPr>
      </w:pPr>
      <w:r>
        <w:rPr/>
        <w:t xml:space="preserve">Воздействия на конструкции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Конструктивные и строительные системы. Конструктивные схемы здания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Требования к зданиям. Общие положения проектирования зданий</w:t>
      </w:r>
    </w:p>
    <w:p>
      <w:pPr>
        <w:numPr>
          <w:ilvl w:val="0"/>
          <w:numId w:val="3"/>
        </w:numPr>
      </w:pPr>
      <w:r>
        <w:rPr/>
        <w:t xml:space="preserve">Объёмно - планировочные решения зданий</w:t>
      </w:r>
    </w:p>
    <w:p>
      <w:pPr>
        <w:numPr>
          <w:ilvl w:val="0"/>
          <w:numId w:val="3"/>
        </w:numPr>
      </w:pPr>
      <w:r>
        <w:rPr/>
        <w:t xml:space="preserve">Классификация зданий.</w:t>
      </w:r>
    </w:p>
    <w:p>
      <w:pPr>
        <w:numPr>
          <w:ilvl w:val="0"/>
          <w:numId w:val="3"/>
        </w:numPr>
      </w:pPr>
      <w:r>
        <w:rPr/>
        <w:t xml:space="preserve">Санитарно - гигиенические требования</w:t>
      </w:r>
    </w:p>
    <w:p>
      <w:pPr>
        <w:numPr>
          <w:ilvl w:val="0"/>
          <w:numId w:val="3"/>
        </w:numPr>
      </w:pPr>
      <w:r>
        <w:rPr/>
        <w:t xml:space="preserve">Противопожарные требования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Объёмно - планировочные решения многоэтажных зданий.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Правила привязок конструктивных элементов бескаркасных и каркасных зданий к координационным осям.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Обеспечение пространственной жесткости и устойчивости здания.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Функциональный процесс - как основа проектирования.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Модульная координация размеров, унификация и типизация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Входной узел. Основные планировочные решения.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Противопожарные мероприятия. Эвакуация людей из помещений.</w:t>
      </w:r>
    </w:p>
    <w:p>
      <w:pPr>
        <w:numPr>
          <w:ilvl w:val="0"/>
          <w:numId w:val="3"/>
        </w:numPr>
      </w:pPr>
      <w:r>
        <w:rPr/>
        <w:t xml:space="preserve">Конструктивные схемы многоэтажных зданий.</w:t>
      </w:r>
    </w:p>
    <w:p>
      <w:pPr>
        <w:numPr>
          <w:ilvl w:val="0"/>
          <w:numId w:val="3"/>
        </w:numPr>
      </w:pPr>
      <w:r>
        <w:rPr/>
        <w:t xml:space="preserve">Конструктивные схемы каркасных зданий.</w:t>
      </w:r>
    </w:p>
    <w:p>
      <w:pPr>
        <w:numPr>
          <w:ilvl w:val="0"/>
          <w:numId w:val="3"/>
        </w:numPr>
      </w:pPr>
      <w:r>
        <w:rPr/>
        <w:t xml:space="preserve">Конструкции стен.</w:t>
      </w:r>
    </w:p>
    <w:p>
      <w:pPr>
        <w:numPr>
          <w:ilvl w:val="0"/>
          <w:numId w:val="3"/>
        </w:numPr>
      </w:pPr>
      <w:r>
        <w:rPr/>
        <w:t xml:space="preserve">Конструкции перекрытий.</w:t>
      </w:r>
    </w:p>
    <w:p>
      <w:pPr>
        <w:numPr>
          <w:ilvl w:val="0"/>
          <w:numId w:val="3"/>
        </w:numPr>
      </w:pPr>
      <w:r>
        <w:rPr/>
        <w:t xml:space="preserve">Полы.</w:t>
      </w:r>
    </w:p>
    <w:p>
      <w:pPr>
        <w:numPr>
          <w:ilvl w:val="0"/>
          <w:numId w:val="3"/>
        </w:numPr>
      </w:pPr>
      <w:r>
        <w:rPr/>
        <w:t xml:space="preserve">Окна, витрины и витражи.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Особенности объемно - планировочных и конструктивных решений зданий возводимых методом подъема перекрытий и этажей.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Железобетонные монолитные и сборно-монолитные перекрытия.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Кровли, требования к ним, классификация.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Лестницы, требования к ним. Классификация.</w:t>
      </w:r>
    </w:p>
    <w:p>
      <w:pPr>
        <w:numPr>
          <w:ilvl w:val="0"/>
          <w:numId w:val="3"/>
        </w:numPr>
      </w:pPr>
      <w:r>
        <w:rPr/>
        <w:t xml:space="preserve">Перегородки.</w:t>
      </w:r>
    </w:p>
    <w:p>
      <w:pPr>
        <w:numPr>
          <w:ilvl w:val="0"/>
          <w:numId w:val="3"/>
        </w:numPr>
      </w:pPr>
      <w:r>
        <w:rPr/>
        <w:t xml:space="preserve">Двери. Ворота.</w:t>
      </w:r>
    </w:p>
    <w:p>
      <w:pPr>
        <w:numPr>
          <w:ilvl w:val="0"/>
          <w:numId w:val="3"/>
        </w:numPr>
      </w:pPr>
      <w:r>
        <w:rPr/>
        <w:t xml:space="preserve">Железобетонный каркас зданий.</w:t>
      </w:r>
    </w:p>
    <w:p>
      <w:pPr>
        <w:numPr>
          <w:ilvl w:val="0"/>
          <w:numId w:val="3"/>
        </w:numPr>
      </w:pPr>
      <w:r>
        <w:rPr/>
        <w:t xml:space="preserve">Стальной каркас зданий.</w:t>
      </w:r>
    </w:p>
    <w:p>
      <w:pPr>
        <w:numPr>
          <w:ilvl w:val="0"/>
          <w:numId w:val="3"/>
        </w:numPr>
      </w:pPr>
      <w:r>
        <w:rPr/>
        <w:t xml:space="preserve">Плоские несущие конструкции покрытий.</w:t>
      </w:r>
    </w:p>
    <w:p>
      <w:pPr>
        <w:numPr>
          <w:ilvl w:val="0"/>
          <w:numId w:val="3"/>
        </w:numPr>
      </w:pPr>
      <w:r>
        <w:rPr/>
        <w:t xml:space="preserve">Оболочки и складки.</w:t>
      </w:r>
    </w:p>
    <w:p>
      <w:pPr>
        <w:numPr>
          <w:ilvl w:val="0"/>
          <w:numId w:val="3"/>
        </w:numPr>
      </w:pPr>
      <w:r>
        <w:rPr/>
        <w:t xml:space="preserve">Ванты и мембраны</w:t>
      </w:r>
    </w:p>
    <w:p>
      <w:pPr>
        <w:numPr>
          <w:ilvl w:val="0"/>
          <w:numId w:val="3"/>
        </w:numPr>
      </w:pPr>
      <w:r>
        <w:rPr/>
        <w:t xml:space="preserve">Перекрестные (структурные) покрытия.</w:t>
      </w:r>
    </w:p>
    <w:p>
      <w:pPr>
        <w:numPr>
          <w:ilvl w:val="0"/>
          <w:numId w:val="3"/>
        </w:numPr>
      </w:pPr>
      <w:r>
        <w:rPr/>
        <w:t xml:space="preserve">Купола и своды.</w:t>
      </w:r>
    </w:p>
    <w:p>
      <w:pPr>
        <w:numPr>
          <w:ilvl w:val="0"/>
          <w:numId w:val="3"/>
        </w:numPr>
      </w:pPr>
      <w:r>
        <w:rPr/>
        <w:t xml:space="preserve">Световые и аэрационные фонари.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Обеспечение пространственной жесткости и устойчивости одноэтажных зданий.</w:t>
      </w:r>
    </w:p>
    <w:p>
      <w:pPr/>
      <w:r>
        <w:rPr>
          <w:lang w:val="ru-RU"/>
        </w:rPr>
        <w:t xml:space="preserve">Экзамен можно проводить в форме тестирования.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Пример теста по предмету «Архитектура гражданских и промышленных зданий».</w:t>
      </w:r>
    </w:p>
    <w:p>
      <w:pPr>
        <w:jc w:val="start"/>
      </w:pP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1. По материалу основных несущих конструкций здания можно разделить на: с железобетонным каркасом, со стальным каркасом, со смешанным каркасом.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А) да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Б) нет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2. Каркас одноэтажных промышленных зданий состоит из продольных рам, образованных колоннами и несущими конструкциями покрытия, и поперечных связывающих элементов.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А) да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Б) нет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3. Стены каркасных зданий опирают на фундаментные балки, укладываемые между подколонниками фундаментов на специальные железобетонные столбики или на консоли колонн.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А) да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Б) нет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4. Для обеспечения работы мостовых кранов на консоли колонн монтируют подкрановые балки, под которые укладывают рельсы. Подкрановые балки обеспечивают также дополнительную пространственную жесткость здания. </w:t>
      </w:r>
    </w:p>
    <w:p>
      <w:pPr/>
      <w:r>
        <w:rPr>
          <w:rFonts w:ascii="Times New Roman" w:hAnsi="Times New Roman" w:eastAsia="Times New Roman" w:cs="Times New Roman"/>
        </w:rPr>
        <w:t xml:space="preserve">А) да</w:t>
      </w:r>
    </w:p>
    <w:p>
      <w:pPr/>
      <w:r>
        <w:rPr>
          <w:rFonts w:ascii="Times New Roman" w:hAnsi="Times New Roman" w:eastAsia="Times New Roman" w:cs="Times New Roman"/>
        </w:rPr>
        <w:t xml:space="preserve">Б) нет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5. Подстропильные железобетонные фермы и балки используют: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А) при шаге стропильных ферм и балок 6 м и шаге колонн средних рядов 12 м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Б) при шаге стропильных ферм и балок 12 м и шаге колонн средних рядов 12 м</w:t>
      </w:r>
    </w:p>
    <w:p>
      <w:pPr>
        <w:jc w:val="start"/>
      </w:pP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6. «Сэндвич» - это каркасные панели шириной 5 м и длиной 15 м, которые состоят из стальной рамы и утеплителя.</w:t>
      </w:r>
    </w:p>
    <w:p>
      <w:pPr/>
    </w:p>
    <w:p>
      <w:pPr/>
      <w:r>
        <w:rPr>
          <w:rFonts w:ascii="Times New Roman" w:hAnsi="Times New Roman" w:eastAsia="Times New Roman" w:cs="Times New Roman"/>
        </w:rPr>
        <w:t xml:space="preserve">А) да</w:t>
      </w:r>
    </w:p>
    <w:p>
      <w:pPr/>
      <w:r>
        <w:rPr>
          <w:rFonts w:ascii="Times New Roman" w:hAnsi="Times New Roman" w:eastAsia="Times New Roman" w:cs="Times New Roman"/>
        </w:rPr>
        <w:t xml:space="preserve">Б) нет</w:t>
      </w:r>
    </w:p>
    <w:p>
      <w:pPr/>
      <w:r>
        <w:rPr>
          <w:rFonts w:ascii="Times New Roman" w:hAnsi="Times New Roman" w:eastAsia="Times New Roman" w:cs="Times New Roman"/>
        </w:rPr>
        <w:t xml:space="preserve">7. Несущие конструкции фонарей в большинстве случаев изготавливают из:</w:t>
      </w:r>
    </w:p>
    <w:p>
      <w:pPr/>
      <w:r>
        <w:rPr>
          <w:rFonts w:ascii="Times New Roman" w:hAnsi="Times New Roman" w:eastAsia="Times New Roman" w:cs="Times New Roman"/>
        </w:rPr>
        <w:t xml:space="preserve">А) стали</w:t>
      </w:r>
    </w:p>
    <w:p>
      <w:pPr/>
      <w:r>
        <w:rPr>
          <w:rFonts w:ascii="Times New Roman" w:hAnsi="Times New Roman" w:eastAsia="Times New Roman" w:cs="Times New Roman"/>
        </w:rPr>
        <w:t xml:space="preserve">Б) дерева</w:t>
      </w:r>
    </w:p>
    <w:p>
      <w:pPr/>
      <w:r>
        <w:rPr>
          <w:rFonts w:ascii="Times New Roman" w:hAnsi="Times New Roman" w:eastAsia="Times New Roman" w:cs="Times New Roman"/>
        </w:rPr>
        <w:t xml:space="preserve">В) железобетона</w:t>
      </w:r>
    </w:p>
    <w:p>
      <w:pPr/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8. Прослойка связывает покрытие с подстилающим слоем или обеспечивает покрытие упругой постелью. При этом используется цементно-песчаный раствор, битумные мастики, песчаные для полов из металлических или бетонных плит.</w:t>
      </w:r>
    </w:p>
    <w:p>
      <w:pPr/>
    </w:p>
    <w:p>
      <w:pPr/>
      <w:r>
        <w:rPr>
          <w:rFonts w:ascii="Times New Roman" w:hAnsi="Times New Roman" w:eastAsia="Times New Roman" w:cs="Times New Roman"/>
        </w:rPr>
        <w:t xml:space="preserve">А) да</w:t>
      </w:r>
    </w:p>
    <w:p>
      <w:pPr/>
      <w:r>
        <w:rPr>
          <w:rFonts w:ascii="Times New Roman" w:hAnsi="Times New Roman" w:eastAsia="Times New Roman" w:cs="Times New Roman"/>
        </w:rPr>
        <w:t xml:space="preserve">Б) нет</w:t>
      </w:r>
    </w:p>
    <w:p>
      <w:pPr/>
    </w:p>
    <w:p>
      <w:pPr>
        <w:jc w:val="start"/>
      </w:pPr>
      <w:r>
        <w:rPr>
          <w:lang w:val="ru-RU"/>
        </w:rPr>
        <w:t xml:space="preserve">Критерии оценивания экзамена:</w:t>
      </w:r>
    </w:p>
    <w:p>
      <w:pPr>
        <w:jc w:val="start"/>
      </w:pPr>
      <w:r>
        <w:rPr>
          <w:lang w:val="ru-RU"/>
        </w:rPr>
        <w:t xml:space="preserve">Оценка «</w:t>
      </w:r>
      <w:r>
        <w:rPr>
          <w:lang w:val="ru-RU"/>
          <w:i w:val="1"/>
          <w:iCs w:val="1"/>
        </w:rPr>
        <w:t xml:space="preserve">отлично</w:t>
      </w:r>
      <w:r>
        <w:rPr>
          <w:lang w:val="ru-RU"/>
        </w:rPr>
        <w:t xml:space="preserve">» выставляется обучающемуся, если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>
        <w:jc w:val="start"/>
      </w:pPr>
      <w:r>
        <w:rPr>
          <w:lang w:val="ru-RU"/>
        </w:rPr>
        <w:t xml:space="preserve">Оценка «</w:t>
      </w:r>
      <w:r>
        <w:rPr>
          <w:lang w:val="ru-RU"/>
          <w:i w:val="1"/>
          <w:iCs w:val="1"/>
        </w:rPr>
        <w:t xml:space="preserve">хорошо</w:t>
      </w:r>
      <w:r>
        <w:rPr>
          <w:lang w:val="ru-RU"/>
        </w:rPr>
        <w:t xml:space="preserve">» 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>
        <w:jc w:val="start"/>
      </w:pPr>
      <w:r>
        <w:rPr>
          <w:lang w:val="ru-RU"/>
        </w:rPr>
        <w:t xml:space="preserve">Оценка «</w:t>
      </w:r>
      <w:r>
        <w:rPr>
          <w:lang w:val="ru-RU"/>
          <w:i w:val="1"/>
          <w:iCs w:val="1"/>
        </w:rPr>
        <w:t xml:space="preserve">удовлетворительно</w:t>
      </w:r>
      <w:r>
        <w:rPr>
          <w:lang w:val="ru-RU"/>
        </w:rPr>
        <w:t xml:space="preserve">» 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>
        <w:jc w:val="start"/>
      </w:pPr>
      <w:r>
        <w:rPr>
          <w:lang w:val="ru-RU"/>
        </w:rPr>
        <w:t xml:space="preserve">Оценка «</w:t>
      </w:r>
      <w:r>
        <w:rPr>
          <w:lang w:val="ru-RU"/>
          <w:i w:val="1"/>
          <w:iCs w:val="1"/>
        </w:rPr>
        <w:t xml:space="preserve">неудовлетворительно</w:t>
      </w:r>
      <w:r>
        <w:rPr>
          <w:lang w:val="ru-RU"/>
        </w:rPr>
        <w:t xml:space="preserve">» выставляется обучающемуся, если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start"/>
      </w:pPr>
      <w:r>
        <w:rPr>
          <w:lang w:val="ru-RU"/>
        </w:rPr>
        <w:t xml:space="preserve">Дисциплина предусматривает лекции, практические занятия и самостоятельную работу студента. Изучение курса продолжается в течение одного семестра с проведением экзамена.</w:t>
      </w:r>
    </w:p>
    <w:p>
      <w:pPr>
        <w:jc w:val="start"/>
      </w:pPr>
      <w:r>
        <w:rPr>
          <w:lang w:val="ru-RU"/>
        </w:rPr>
        <w:t xml:space="preserve">Успешное изучение курса требует обязательного посещения лекций, активной работы на практических занятиях, выполнения всех учебных заданий преподавателя, ознакомления с основной и дополнительной литературой.</w:t>
      </w:r>
    </w:p>
    <w:p>
      <w:pPr>
        <w:jc w:val="start"/>
      </w:pPr>
      <w:r>
        <w:rPr>
          <w:lang w:val="ru-RU"/>
        </w:rPr>
        <w:t xml:space="preserve">Во время лекции студент должен вести краткий конспект. Работа с конспектом лекций предполагает просмотр конспекта лекций в тот же день после занятий. При этом необходимо пометить материалы конспекта, которые вызывают затруднения для понимания. Обучающийся должен стараться найти ответы на затруднительные вопросы, используя основную и дополнительную литературу. Если самостоятельно разобраться в материале не удалось, необходимо сформулировать вопросы и обратиться к преподавателю на консультации или ближайшей лекции.</w:t>
      </w:r>
    </w:p>
    <w:p>
      <w:pPr>
        <w:jc w:val="start"/>
      </w:pPr>
      <w:r>
        <w:rPr>
          <w:lang w:val="ru-RU"/>
        </w:rPr>
        <w:t xml:space="preserve">Обучающемуся необходимо регулярно отводить время для повторения пройденного материала, проверяя свои знания, умения и навыки.</w:t>
      </w:r>
    </w:p>
    <w:p>
      <w:pPr>
        <w:jc w:val="start"/>
      </w:pPr>
      <w:r>
        <w:rPr>
          <w:lang w:val="ru-RU"/>
        </w:rPr>
        <w:t xml:space="preserve">Практические занятия составляют важную часть профессиональной подготовки студентов. Их основная цель - формирования у студентов аналитического, творческого мышления путем приобретения практических навыков. Важнейшей составляющей любой формы практических занятий являются расчетно-графические упражнения (задания). Практические занятия являются обязательными для посещения.</w:t>
      </w:r>
    </w:p>
    <w:p>
      <w:pPr>
        <w:jc w:val="start"/>
      </w:pPr>
      <w:r>
        <w:rPr>
          <w:lang w:val="ru-RU"/>
        </w:rPr>
        <w:t xml:space="preserve">При подготовке к экзамену </w:t>
      </w:r>
      <w:r>
        <w:rPr/>
        <w:t xml:space="preserve"> </w:t>
      </w:r>
      <w:r>
        <w:rPr>
          <w:lang w:val="ru-RU"/>
        </w:rPr>
        <w:t xml:space="preserve">в дополнение к изучению конспектов лекций, учебных пособий и основной литературе необходимо пользоваться дополнительной литературой, рекомендованной в настоящей программе. При подготовке к экзамену нужно изучить теорию и самостоятельно выполнить по несколько типовых заданий из каждой темы.</w:t>
      </w:r>
      <w:r>
        <w:rPr/>
        <w:t xml:space="preserve"> </w:t>
      </w:r>
    </w:p>
    <w:p>
      <w:pPr>
        <w:jc w:val="start"/>
      </w:pPr>
      <w:r>
        <w:rPr>
          <w:lang w:val="ru-RU"/>
        </w:rPr>
        <w:t xml:space="preserve">Самостоятельная работа студентов по дисциплине играет важную роль в ходе всего учебного процесса. Методические рекомендации для обеспечения самостоятельной работы студента готовятся и выдаются преподавателем.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Темы учебного курса должны следовать в последовательности, указанной в календарном плане.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По курсу имеется достаточное число учебников и учебных пособий, поэтому некоторые темы преподаватель может рекомендовать студентам для самостоятельного изучения.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Практические занятия необходимо организовать так, чтобы каждый студент на примере учебного задания решал задачи самостоятельно, тем самым, приобретая навыки работы с чертежами.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Учитывая то, что лекции сопровождаются схемами, графиками и иллюстрациями, рекомендуется подготовка и демонстрация видео презентаций.</w:t>
      </w:r>
    </w:p>
    <w:p>
      <w:pPr>
        <w:jc w:val="start"/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>
          <w:lang w:val="ru-RU"/>
          <w:color w:val="000000"/>
        </w:rPr>
        <w:t xml:space="preserve">Архитектура жилых и общественных зданий : методические указания [Электронный ресурс] / сост. Г.Ф. Горшкова ; Министерство образования и науки Российской Федерации, Федеральное агентство по образованию, Государственное образовательное учреждение высшего профессионального образования «Нижегородский государственный архитектурно-строительный университет» и др. - Нижний Новгород : ННГАСУ, 2010. - 28 с. : ил. // Университетская библиотека </w:t>
      </w:r>
      <w:r>
        <w:rPr>
          <w:color w:val="000000"/>
        </w:rPr>
        <w:t xml:space="preserve">ONLINE</w:t>
      </w:r>
      <w:r>
        <w:rPr>
          <w:lang w:val="ru-RU"/>
          <w:color w:val="000000"/>
        </w:rPr>
        <w:t xml:space="preserve"> / компания «Директ-Медиа». – Электрон. дан. – [Москва], </w:t>
      </w:r>
      <w:r>
        <w:rPr>
          <w:color w:val="000000"/>
        </w:rPr>
        <w:t xml:space="preserve">cop</w:t>
      </w:r>
      <w:r>
        <w:rPr>
          <w:lang w:val="ru-RU"/>
          <w:color w:val="000000"/>
        </w:rPr>
        <w:t xml:space="preserve">. 2001– 2014.– </w:t>
      </w:r>
      <w:r>
        <w:rPr>
          <w:color w:val="000000"/>
        </w:rPr>
        <w:t xml:space="preserve">URL: http://biblioclub.ru/index.php?page=book&amp;id=427148.</w:t>
      </w:r>
    </w:p>
    <w:p>
      <w:pPr>
        <w:numPr>
          <w:ilvl w:val="0"/>
          <w:numId w:val="5"/>
        </w:numPr>
      </w:pPr>
      <w:r>
        <w:rPr>
          <w:lang w:val="ru-RU"/>
          <w:color w:val="000000"/>
        </w:rPr>
        <w:t xml:space="preserve">Рыбакова Г.С. Основы архитектуры [Электронный ресурс]: учебное пособие / Г.С.</w:t>
      </w:r>
      <w:r>
        <w:rPr>
          <w:color w:val="000000"/>
        </w:rPr>
        <w:t xml:space="preserve"> </w:t>
      </w:r>
      <w:r>
        <w:rPr>
          <w:lang w:val="ru-RU"/>
          <w:color w:val="000000"/>
        </w:rPr>
        <w:t xml:space="preserve">Рыбакова, А.С.</w:t>
      </w:r>
      <w:r>
        <w:rPr>
          <w:color w:val="000000"/>
        </w:rPr>
        <w:t xml:space="preserve"> </w:t>
      </w:r>
      <w:r>
        <w:rPr>
          <w:lang w:val="ru-RU"/>
          <w:color w:val="000000"/>
        </w:rPr>
        <w:t xml:space="preserve">Першина, Э.Н.</w:t>
      </w:r>
      <w:r>
        <w:rPr>
          <w:color w:val="000000"/>
        </w:rPr>
        <w:t xml:space="preserve"> </w:t>
      </w:r>
      <w:r>
        <w:rPr>
          <w:lang w:val="ru-RU"/>
          <w:color w:val="000000"/>
        </w:rPr>
        <w:t xml:space="preserve">Бородачева ; Министерство образования и науки РФ, Федеральное государственное бюджетное образовательное учреждение высшего профессионального образования «Самарский государственный архитектурно-строительный университет». - Самара : Самарский государственный архитектурно-строительный университет, 2015. - 127 с. : табл., ил. // Университетская библиотека </w:t>
      </w:r>
      <w:r>
        <w:rPr>
          <w:color w:val="000000"/>
        </w:rPr>
        <w:t xml:space="preserve">ONLINE</w:t>
      </w:r>
      <w:r>
        <w:rPr>
          <w:lang w:val="ru-RU"/>
          <w:color w:val="000000"/>
        </w:rPr>
        <w:t xml:space="preserve"> / компания «Директ-Медиа». – Электрон. дан. – [Москва], </w:t>
      </w:r>
      <w:r>
        <w:rPr>
          <w:color w:val="000000"/>
        </w:rPr>
        <w:t xml:space="preserve">cop</w:t>
      </w:r>
      <w:r>
        <w:rPr>
          <w:lang w:val="ru-RU"/>
          <w:color w:val="000000"/>
        </w:rPr>
        <w:t xml:space="preserve">. 2001– 2014.– </w:t>
      </w:r>
      <w:r>
        <w:rPr>
          <w:color w:val="000000"/>
        </w:rPr>
        <w:t xml:space="preserve">URL:  </w:t>
      </w:r>
    </w:p>
    <w:p>
      <w:pPr>
        <w:numPr>
          <w:ilvl w:val="0"/>
          <w:numId w:val="5"/>
        </w:numPr>
      </w:pPr>
      <w:r>
        <w:rPr>
          <w:lang w:val="ru-RU"/>
          <w:color w:val="000000"/>
        </w:rPr>
        <w:t xml:space="preserve">Рыбакова Г.С. Архитектура зданий [Электронный ресурс]: учебное пособие / Г.С.</w:t>
      </w:r>
      <w:r>
        <w:rPr>
          <w:color w:val="000000"/>
        </w:rPr>
        <w:t xml:space="preserve"> </w:t>
      </w:r>
      <w:r>
        <w:rPr>
          <w:lang w:val="ru-RU"/>
          <w:color w:val="000000"/>
        </w:rPr>
        <w:t xml:space="preserve">Рыбакова. - Самара : Самарский государственный архитектурно-строительный университет, 2011. - Ч. </w:t>
      </w:r>
      <w:r>
        <w:rPr>
          <w:color w:val="000000"/>
        </w:rPr>
        <w:t xml:space="preserve">I</w:t>
      </w:r>
      <w:r>
        <w:rPr>
          <w:lang w:val="ru-RU"/>
          <w:color w:val="000000"/>
        </w:rPr>
        <w:t xml:space="preserve">. Гражданские здания. - 166 с. // Университетская библиотека </w:t>
      </w:r>
      <w:r>
        <w:rPr>
          <w:color w:val="000000"/>
        </w:rPr>
        <w:t xml:space="preserve">ONLINE</w:t>
      </w:r>
      <w:r>
        <w:rPr>
          <w:lang w:val="ru-RU"/>
          <w:color w:val="000000"/>
        </w:rPr>
        <w:t xml:space="preserve"> / компания «Директ-Медиа». – Электрон. дан. – [Москва], </w:t>
      </w:r>
      <w:r>
        <w:rPr>
          <w:color w:val="000000"/>
        </w:rPr>
        <w:t xml:space="preserve">cop</w:t>
      </w:r>
      <w:r>
        <w:rPr>
          <w:lang w:val="ru-RU"/>
          <w:color w:val="000000"/>
        </w:rPr>
        <w:t xml:space="preserve">. 2001– 2014.– </w:t>
      </w:r>
      <w:r>
        <w:rPr>
          <w:color w:val="000000"/>
        </w:rPr>
        <w:t xml:space="preserve">URL: </w:t>
      </w:r>
      <w:hyperlink r:id="rId7" w:history="1">
        <w:r>
          <w:rPr/>
          <w:t xml:space="preserve">http://biblioclub.ru/index.php?page=book&amp;id=143496</w:t>
        </w:r>
      </w:hyperlink>
      <w:r>
        <w:rPr>
          <w:color w:val="000000"/>
        </w:rPr>
        <w:t xml:space="preserve">.</w:t>
      </w:r>
    </w:p>
    <w:p>
      <w:pPr>
        <w:numPr>
          <w:ilvl w:val="0"/>
          <w:numId w:val="5"/>
        </w:numPr>
      </w:pPr>
      <w:r>
        <w:rPr>
          <w:lang w:val="ru-RU"/>
          <w:color w:val="000000"/>
        </w:rPr>
        <w:t xml:space="preserve">Максименко Л.А. Выполнение планов зданий в среде </w:t>
      </w:r>
      <w:r>
        <w:rPr>
          <w:color w:val="000000"/>
        </w:rPr>
        <w:t xml:space="preserve">AutoCAD</w:t>
      </w:r>
      <w:r>
        <w:rPr>
          <w:lang w:val="ru-RU"/>
          <w:color w:val="000000"/>
        </w:rPr>
        <w:t xml:space="preserve"> [Электронный ресурс] : учебное пособие / Л.А.</w:t>
      </w:r>
      <w:r>
        <w:rPr>
          <w:color w:val="000000"/>
        </w:rPr>
        <w:t xml:space="preserve"> </w:t>
      </w:r>
      <w:r>
        <w:rPr>
          <w:lang w:val="ru-RU"/>
          <w:color w:val="000000"/>
        </w:rPr>
        <w:t xml:space="preserve">Максименко, Г.М.</w:t>
      </w:r>
      <w:r>
        <w:rPr>
          <w:color w:val="000000"/>
        </w:rPr>
        <w:t xml:space="preserve"> </w:t>
      </w:r>
      <w:r>
        <w:rPr>
          <w:lang w:val="ru-RU"/>
          <w:color w:val="000000"/>
        </w:rPr>
        <w:t xml:space="preserve">Утина ; Министерство образования и науки Российской Федерации, Новосибирский государственный технический университет. - 2-е изд., перераб. и доп. - Новосибирск : НГТУ, 2015. - 115 с. : схем., табл., ил. // Университетская библиотека </w:t>
      </w:r>
      <w:r>
        <w:rPr>
          <w:color w:val="000000"/>
        </w:rPr>
        <w:t xml:space="preserve">ONLINE</w:t>
      </w:r>
      <w:r>
        <w:rPr>
          <w:lang w:val="ru-RU"/>
          <w:color w:val="000000"/>
        </w:rPr>
        <w:t xml:space="preserve"> / компания «Директ-Медиа». – Электрон. дан. – [Москва], </w:t>
      </w:r>
      <w:r>
        <w:rPr>
          <w:color w:val="000000"/>
        </w:rPr>
        <w:t xml:space="preserve">cop</w:t>
      </w:r>
      <w:r>
        <w:rPr>
          <w:lang w:val="ru-RU"/>
          <w:color w:val="000000"/>
        </w:rPr>
        <w:t xml:space="preserve">. 2001– 2014.– </w:t>
      </w:r>
      <w:r>
        <w:rPr>
          <w:color w:val="000000"/>
        </w:rPr>
        <w:t xml:space="preserve">URL: </w:t>
      </w:r>
      <w:hyperlink r:id="rId8" w:history="1">
        <w:r>
          <w:rPr/>
          <w:t xml:space="preserve">http://biblioclub.ru/index.php?page=book&amp;id=438412</w:t>
        </w:r>
      </w:hyperlink>
      <w:r>
        <w:rPr>
          <w:color w:val="000000"/>
        </w:rPr>
        <w:t xml:space="preserve">.</w:t>
      </w:r>
    </w:p>
    <w:p>
      <w:pPr>
        <w:numPr>
          <w:ilvl w:val="0"/>
          <w:numId w:val="5"/>
        </w:numPr>
      </w:pPr>
      <w:r>
        <w:rPr>
          <w:lang w:val="ru-RU"/>
          <w:color w:val="000000"/>
        </w:rPr>
        <w:t xml:space="preserve">Никитина Т.А. Архитектура и конструкции производственных зданий [Электронный ресурс]: учебное пособие / Т.А.</w:t>
      </w:r>
      <w:r>
        <w:rPr>
          <w:color w:val="000000"/>
        </w:rPr>
        <w:t xml:space="preserve"> </w:t>
      </w:r>
      <w:r>
        <w:rPr>
          <w:lang w:val="ru-RU"/>
          <w:color w:val="000000"/>
        </w:rPr>
        <w:t xml:space="preserve">Никитина ; Федеральное агентство по образованию, Северный (Арктический) федеральный университет имени М.В. Ломоносова. - Архангельск : САФУ, 2015. - 195 с. : ил., схем., табл. // Университетская библиотека </w:t>
      </w:r>
      <w:r>
        <w:rPr>
          <w:color w:val="000000"/>
        </w:rPr>
        <w:t xml:space="preserve">ONLINE</w:t>
      </w:r>
      <w:r>
        <w:rPr>
          <w:lang w:val="ru-RU"/>
          <w:color w:val="000000"/>
        </w:rPr>
        <w:t xml:space="preserve"> / компания «Директ-Медиа». – Электрон. дан. – [Москва], </w:t>
      </w:r>
      <w:r>
        <w:rPr>
          <w:color w:val="000000"/>
        </w:rPr>
        <w:t xml:space="preserve">cop</w:t>
      </w:r>
      <w:r>
        <w:rPr>
          <w:lang w:val="ru-RU"/>
          <w:color w:val="000000"/>
        </w:rPr>
        <w:t xml:space="preserve">. 2001– 2014.– </w:t>
      </w:r>
      <w:r>
        <w:rPr>
          <w:color w:val="000000"/>
        </w:rPr>
        <w:t xml:space="preserve">URL: http://biblioclub.ru/index.php?page=book&amp;id=436242.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>
          <w:lang w:val="ru-RU"/>
          <w:color w:val="000000"/>
        </w:rPr>
        <w:t xml:space="preserve">Архитектурные конструкции : учеб. пособие / Ю. А. Дыховичный [и др.] ; [под ред. Ю. А. Дыховичного, З. А. Казбек-Казиева]. – 2-е изд., перераб. и доп. – Москва : Архитектура-С, 2012. – Кн. 1: Архитектурные конструкции малоэтажных зданий. – 248 с. </w:t>
      </w:r>
    </w:p>
    <w:p>
      <w:pPr>
        <w:numPr>
          <w:ilvl w:val="0"/>
          <w:numId w:val="6"/>
        </w:numPr>
      </w:pPr>
      <w:r>
        <w:rPr>
          <w:lang w:val="ru-RU"/>
          <w:color w:val="000000"/>
        </w:rPr>
        <w:t xml:space="preserve">Архитектурные конструкции : учеб. пособие / Ю. А. Дыховичный [и др.]; [под ред. Ю. А. Дыховичного, З. А. Казбек-Казиева]. – 2-е изд., перераб. и доп. – Москва : Архитектура-С, 2012. – Кн. 2 : Архитектурные конструкции многоэтажных зданий. – 248 с. </w:t>
      </w:r>
    </w:p>
    <w:p>
      <w:pPr>
        <w:numPr>
          <w:ilvl w:val="0"/>
          <w:numId w:val="6"/>
        </w:numPr>
      </w:pPr>
      <w:r>
        <w:rPr>
          <w:lang w:val="ru-RU"/>
          <w:color w:val="000000"/>
        </w:rPr>
        <w:t xml:space="preserve">Волосухин В.А. Строительные конструкции [Электронный ресурс]: учебник для студентов вузов / В.А.</w:t>
      </w:r>
      <w:r>
        <w:rPr>
          <w:color w:val="000000"/>
        </w:rPr>
        <w:t xml:space="preserve"> </w:t>
      </w:r>
      <w:r>
        <w:rPr>
          <w:lang w:val="ru-RU"/>
          <w:color w:val="000000"/>
        </w:rPr>
        <w:t xml:space="preserve">Волосухин, С.И.</w:t>
      </w:r>
      <w:r>
        <w:rPr>
          <w:color w:val="000000"/>
        </w:rPr>
        <w:t xml:space="preserve"> </w:t>
      </w:r>
      <w:r>
        <w:rPr>
          <w:lang w:val="ru-RU"/>
          <w:color w:val="000000"/>
        </w:rPr>
        <w:t xml:space="preserve">Евтушенко, Т.Н.</w:t>
      </w:r>
      <w:r>
        <w:rPr>
          <w:color w:val="000000"/>
        </w:rPr>
        <w:t xml:space="preserve"> </w:t>
      </w:r>
      <w:r>
        <w:rPr>
          <w:lang w:val="ru-RU"/>
          <w:color w:val="000000"/>
        </w:rPr>
        <w:t xml:space="preserve">Меркулова. - 4-е изд., перераб. и доп. - Ростов-на-Дону : Издательство «Феникс», 2013. - 555 с. : ил., схем., табл. - (Высшее образование) // Университетская библиотека </w:t>
      </w:r>
      <w:r>
        <w:rPr>
          <w:color w:val="000000"/>
        </w:rPr>
        <w:t xml:space="preserve">ONLINE</w:t>
      </w:r>
      <w:r>
        <w:rPr>
          <w:lang w:val="ru-RU"/>
          <w:color w:val="000000"/>
        </w:rPr>
        <w:t xml:space="preserve"> / компания «Директ-Медиа». – Электрон. дан. – [Москва], </w:t>
      </w:r>
      <w:r>
        <w:rPr>
          <w:color w:val="000000"/>
        </w:rPr>
        <w:t xml:space="preserve">cop</w:t>
      </w:r>
      <w:r>
        <w:rPr>
          <w:lang w:val="ru-RU"/>
          <w:color w:val="000000"/>
        </w:rPr>
        <w:t xml:space="preserve">. 2001 – 2014.– </w:t>
      </w:r>
      <w:r>
        <w:rPr>
          <w:color w:val="000000"/>
        </w:rPr>
        <w:t xml:space="preserve">URL: </w:t>
      </w:r>
      <w:hyperlink r:id="rId9" w:history="1">
        <w:r>
          <w:rPr/>
          <w:t xml:space="preserve">http://biblioclub.ru/index.php?page=book&amp;id=271492</w:t>
        </w:r>
      </w:hyperlink>
      <w:r>
        <w:rPr>
          <w:color w:val="000000"/>
        </w:rPr>
        <w:t xml:space="preserve">.</w:t>
      </w:r>
    </w:p>
    <w:p>
      <w:pPr>
        <w:numPr>
          <w:ilvl w:val="0"/>
          <w:numId w:val="6"/>
        </w:numPr>
      </w:pPr>
      <w:r>
        <w:rPr>
          <w:lang w:val="ru-RU"/>
          <w:color w:val="000000"/>
        </w:rPr>
        <w:t xml:space="preserve">Пособие по проектированию жилых зданий (к СНиП 2.08.01-85) /ЦНИИЭПжилища. – М.: Стройиздат, 1989. </w:t>
      </w:r>
      <w:r>
        <w:rPr>
          <w:color w:val="000000"/>
        </w:rPr>
        <w:t xml:space="preserve">10 экз.</w:t>
      </w:r>
    </w:p>
    <w:p>
      <w:pPr>
        <w:numPr>
          <w:ilvl w:val="0"/>
          <w:numId w:val="6"/>
        </w:numPr>
      </w:pPr>
      <w:r>
        <w:rPr>
          <w:lang w:val="ru-RU"/>
          <w:color w:val="000000"/>
        </w:rPr>
        <w:t xml:space="preserve">Невзоров А.Л. Проектирование фундаментов [Электронный ресурс]: учебно-методическое пособие / А.Л.</w:t>
      </w:r>
      <w:r>
        <w:rPr>
          <w:color w:val="000000"/>
        </w:rPr>
        <w:t xml:space="preserve"> </w:t>
      </w:r>
      <w:r>
        <w:rPr>
          <w:lang w:val="ru-RU"/>
          <w:color w:val="000000"/>
        </w:rPr>
        <w:t xml:space="preserve">Невзоров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Северный (Арктический) федеральный университет им. М.В. Ломоносова. - Архангельск : ИД САФУ, 2014. - 110 с. : табл., ил. // Университетская библиотека </w:t>
      </w:r>
      <w:r>
        <w:rPr>
          <w:color w:val="000000"/>
        </w:rPr>
        <w:t xml:space="preserve">ONLINE</w:t>
      </w:r>
      <w:r>
        <w:rPr>
          <w:lang w:val="ru-RU"/>
          <w:color w:val="000000"/>
        </w:rPr>
        <w:t xml:space="preserve"> / компания «Директ-Медиа». – Электрон. дан. – [Москва], </w:t>
      </w:r>
      <w:r>
        <w:rPr>
          <w:color w:val="000000"/>
        </w:rPr>
        <w:t xml:space="preserve">cop</w:t>
      </w:r>
      <w:r>
        <w:rPr>
          <w:lang w:val="ru-RU"/>
          <w:color w:val="000000"/>
        </w:rPr>
        <w:t xml:space="preserve">. 2001– 2014.– </w:t>
      </w:r>
      <w:r>
        <w:rPr>
          <w:color w:val="000000"/>
        </w:rPr>
        <w:t xml:space="preserve">URL: http://biblioclub.ru/index.php?page=book&amp;id=436373. </w:t>
      </w:r>
    </w:p>
    <w:p>
      <w:pPr>
        <w:numPr>
          <w:ilvl w:val="0"/>
          <w:numId w:val="6"/>
        </w:numPr>
      </w:pPr>
      <w:r>
        <w:rPr>
          <w:lang w:val="ru-RU"/>
          <w:color w:val="000000"/>
        </w:rPr>
        <w:t xml:space="preserve">Селютина Л. Ф. Постройки первобытного человека. История строительных конструкций в странах Древнего мира : учебное пособие для студентов строительных вузов / Л. Ф. Селютина; М-во образования и науки Рос. Федерации, Федер. гос. бюджет. образоват. учреждение высш. проф. образования Петрозав. гос. ун-т. — Петрозаводск: Изд-во ПетрГУ, 2014. — 55 с. // </w:t>
      </w:r>
      <w:r>
        <w:rPr>
          <w:color w:val="000000"/>
        </w:rPr>
        <w:t xml:space="preserve">eLibrary</w:t>
      </w:r>
      <w:r>
        <w:rPr>
          <w:lang w:val="ru-RU"/>
          <w:color w:val="000000"/>
        </w:rPr>
        <w:t xml:space="preserve">.</w:t>
      </w:r>
      <w:r>
        <w:rPr>
          <w:color w:val="000000"/>
        </w:rPr>
        <w:t xml:space="preserve">ru</w:t>
      </w:r>
      <w:r>
        <w:rPr>
          <w:lang w:val="ru-RU"/>
          <w:color w:val="000000"/>
        </w:rPr>
        <w:t xml:space="preserve">. Электронная библиотека Республики Карелия [Электронный ресурс] / РЦНИТ ПетрГУ [и др.]. – Электрон. дан. </w:t>
      </w:r>
      <w:r>
        <w:rPr>
          <w:color w:val="000000"/>
        </w:rPr>
        <w:t xml:space="preserve">− URL: </w:t>
      </w:r>
      <w:hyperlink r:id="rId10" w:history="1">
        <w:r>
          <w:rPr/>
          <w:t xml:space="preserve">http://elibrary.karelia.ru/docs/selyutina/postroiki_pervob_chel_istor_str.konstr/total.pdf</w:t>
        </w:r>
      </w:hyperlink>
      <w:r>
        <w:rPr>
          <w:color w:val="000000"/>
        </w:rPr>
        <w:t xml:space="preserve"> .</w:t>
      </w:r>
    </w:p>
    <w:p>
      <w:pPr>
        <w:numPr>
          <w:ilvl w:val="0"/>
          <w:numId w:val="6"/>
        </w:numPr>
      </w:pPr>
      <w:r>
        <w:rPr>
          <w:lang w:val="ru-RU"/>
          <w:color w:val="000000"/>
        </w:rPr>
        <w:t xml:space="preserve">Селютина Л. Ф. Строительные конструкции в странах Центральной и Западной Европы и в России до начала </w:t>
      </w:r>
      <w:r>
        <w:rPr>
          <w:color w:val="000000"/>
        </w:rPr>
        <w:t xml:space="preserve">XVIII</w:t>
      </w:r>
      <w:r>
        <w:rPr>
          <w:lang w:val="ru-RU"/>
          <w:color w:val="000000"/>
        </w:rPr>
        <w:t xml:space="preserve"> в.: учебное пособие для студентов строительных вузов / Л. Ф. Селютина; М-во образования и науки Рос. Федерации, Федер. гос. бюджет. образоват. учреждение высш. проф. образования Петрозав. гос. ун-т. — Петрозаводск: Изд-во ПетрГУ, 2014. — 50 с. // </w:t>
      </w:r>
      <w:r>
        <w:rPr>
          <w:color w:val="000000"/>
        </w:rPr>
        <w:t xml:space="preserve">eLibrary</w:t>
      </w:r>
      <w:r>
        <w:rPr>
          <w:lang w:val="ru-RU"/>
          <w:color w:val="000000"/>
        </w:rPr>
        <w:t xml:space="preserve">.</w:t>
      </w:r>
      <w:r>
        <w:rPr>
          <w:color w:val="000000"/>
        </w:rPr>
        <w:t xml:space="preserve">ru</w:t>
      </w:r>
      <w:r>
        <w:rPr>
          <w:lang w:val="ru-RU"/>
          <w:color w:val="000000"/>
        </w:rPr>
        <w:t xml:space="preserve">. Электронная библиотека Республики Карелия [Электронный ресурс] / РЦНИТ ПетрГУ [и др.]. – Электрон. дан. </w:t>
      </w:r>
      <w:r>
        <w:rPr>
          <w:color w:val="000000"/>
        </w:rPr>
        <w:t xml:space="preserve">− URL: </w:t>
      </w:r>
      <w:hyperlink r:id="rId11" w:history="1">
        <w:r>
          <w:rPr/>
          <w:t xml:space="preserve">http://elibrary.karelia.ru/docs/selyutina/stroit_konstr_zentr_zap_evrop_ross_do_18v/total.pdf</w:t>
        </w:r>
      </w:hyperlink>
      <w:r>
        <w:rPr>
          <w:color w:val="000000"/>
        </w:rPr>
        <w:t xml:space="preserve">. </w:t>
      </w:r>
    </w:p>
    <w:p>
      <w:pPr>
        <w:jc w:val="start"/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start"/>
      </w:pPr>
      <w:r>
        <w:rPr>
          <w:lang w:val="ru-RU"/>
        </w:rPr>
        <w:t xml:space="preserve">Студенты и преподаватели ПетрГУ имеют доступ к электронным библиотечным системам и другим электронным ресурсам на основании договоров между организациями-правообладателями и ПетрГУ.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Для поиска учебной и научной литературы студенты используют следующие ресурсы:</w:t>
      </w:r>
    </w:p>
    <w:p>
      <w:pPr>
        <w:jc w:val="start"/>
      </w:pPr>
      <w:r>
        <w:rPr>
          <w:lang w:val="ru-RU"/>
        </w:rPr>
        <w:t xml:space="preserve">1. Электронный каталог Научной библиотеки ПетрГУ </w:t>
      </w:r>
      <w:hyperlink r:id="rId12" w:history="1">
        <w:r>
          <w:rPr/>
          <w:t xml:space="preserve">http://foliant.ru/catalog/psulibr</w:t>
        </w:r>
      </w:hyperlink>
      <w:r>
        <w:rPr>
          <w:lang w:val="ru-RU"/>
        </w:rPr>
        <w:t xml:space="preserve"> </w:t>
      </w:r>
    </w:p>
    <w:p>
      <w:pPr>
        <w:jc w:val="start"/>
      </w:pPr>
      <w:r>
        <w:rPr>
          <w:lang w:val="ru-RU"/>
        </w:rPr>
        <w:t xml:space="preserve">2. Электронная библиотека Республики Карелия </w:t>
      </w:r>
      <w:hyperlink r:id="rId13" w:history="1">
        <w:r>
          <w:rPr/>
          <w:t xml:space="preserve">http://elibrary.karelia.ru/</w:t>
        </w:r>
      </w:hyperlink>
      <w:r>
        <w:rPr>
          <w:lang w:val="ru-RU"/>
        </w:rPr>
        <w:t xml:space="preserve"> </w:t>
      </w:r>
    </w:p>
    <w:p>
      <w:pPr>
        <w:jc w:val="start"/>
      </w:pPr>
      <w:r>
        <w:rPr>
          <w:lang w:val="ru-RU"/>
        </w:rPr>
        <w:t xml:space="preserve">3. Электронная библиотечная система «Университетская библиотека онлайн» </w:t>
      </w:r>
      <w:hyperlink r:id="rId14" w:history="1">
        <w:r>
          <w:rPr/>
          <w:t xml:space="preserve">http://biblioclub.ru/</w:t>
        </w:r>
      </w:hyperlink>
      <w:r>
        <w:rPr>
          <w:lang w:val="ru-RU"/>
        </w:rPr>
        <w:t xml:space="preserve"> </w:t>
      </w:r>
    </w:p>
    <w:p>
      <w:pPr>
        <w:jc w:val="start"/>
      </w:pPr>
      <w:r>
        <w:rPr>
          <w:lang w:val="ru-RU"/>
        </w:rPr>
        <w:t xml:space="preserve">4. Ресурсы раздела «Профессиональные базы данных и информационные справочные системы» (кроме ресурсов тестового доступа) на сайте Научной библиотеки ПетрГУ </w:t>
      </w:r>
      <w:hyperlink r:id="rId15" w:history="1">
        <w:r>
          <w:rPr/>
          <w:t xml:space="preserve">http://library.petrsu.ru/collections/bd.shtml</w:t>
        </w:r>
      </w:hyperlink>
      <w:r>
        <w:rPr>
          <w:lang w:val="ru-RU"/>
        </w:rPr>
        <w:t xml:space="preserve"> </w:t>
      </w:r>
    </w:p>
    <w:p>
      <w:pPr>
        <w:jc w:val="start"/>
      </w:pPr>
      <w:r>
        <w:rPr>
          <w:lang w:val="ru-RU"/>
        </w:rPr>
        <w:t xml:space="preserve">5. КонсультантПлюс: справочные-правовые системы (доступ с компьютеров библиотеки ПетрГУ).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Программное обеспечение </w:t>
      </w:r>
      <w:r>
        <w:rPr>
          <w:lang w:val="ru-RU"/>
        </w:rPr>
        <w:t xml:space="preserve">дисциплины:</w:t>
      </w:r>
    </w:p>
    <w:p>
      <w:pPr>
        <w:jc w:val="start"/>
      </w:pPr>
      <w:r>
        <w:rPr>
          <w:lang w:val="ru-RU"/>
        </w:rPr>
        <w:t xml:space="preserve">1.</w:t>
      </w:r>
      <w:r>
        <w:rPr/>
        <w:t xml:space="preserve"> </w:t>
      </w:r>
      <w:r>
        <w:rPr>
          <w:lang w:val="ru-RU"/>
        </w:rPr>
        <w:t xml:space="preserve">Пакет </w:t>
      </w:r>
      <w:r>
        <w:rPr/>
        <w:t xml:space="preserve">Microsoft</w:t>
      </w:r>
      <w:r>
        <w:rPr>
          <w:lang w:val="ru-RU"/>
        </w:rPr>
        <w:t xml:space="preserve"> </w:t>
      </w:r>
      <w:r>
        <w:rPr/>
        <w:t xml:space="preserve">Office</w:t>
      </w:r>
      <w:r>
        <w:rPr>
          <w:lang w:val="ru-RU"/>
        </w:rPr>
        <w:t xml:space="preserve"> 2007-2010 (</w:t>
      </w:r>
      <w:r>
        <w:rPr/>
        <w:t xml:space="preserve">Word</w:t>
      </w:r>
      <w:r>
        <w:rPr>
          <w:lang w:val="ru-RU"/>
        </w:rPr>
        <w:t xml:space="preserve">, </w:t>
      </w:r>
      <w:r>
        <w:rPr/>
        <w:t xml:space="preserve">Excel</w:t>
      </w:r>
      <w:r>
        <w:rPr>
          <w:lang w:val="ru-RU"/>
        </w:rPr>
        <w:t xml:space="preserve">, </w:t>
      </w:r>
      <w:r>
        <w:rPr/>
        <w:t xml:space="preserve">Power</w:t>
      </w:r>
      <w:r>
        <w:rPr>
          <w:lang w:val="ru-RU"/>
        </w:rPr>
        <w:t xml:space="preserve"> </w:t>
      </w:r>
      <w:r>
        <w:rPr/>
        <w:t xml:space="preserve">Point</w:t>
      </w:r>
      <w:r>
        <w:rPr>
          <w:lang w:val="ru-RU"/>
        </w:rPr>
        <w:t xml:space="preserve">)</w:t>
      </w:r>
    </w:p>
    <w:p>
      <w:pPr>
        <w:jc w:val="start"/>
      </w:pPr>
      <w:r>
        <w:rPr>
          <w:lang w:val="ru-RU"/>
        </w:rPr>
        <w:t xml:space="preserve">2. Пакет для просмотра и печати документов </w:t>
      </w:r>
      <w:r>
        <w:rPr/>
        <w:t xml:space="preserve">Adobe</w:t>
      </w:r>
      <w:r>
        <w:rPr>
          <w:lang w:val="ru-RU"/>
        </w:rPr>
        <w:t xml:space="preserve"> </w:t>
      </w:r>
      <w:r>
        <w:rPr/>
        <w:t xml:space="preserve">Acrobat</w:t>
      </w:r>
      <w:r>
        <w:rPr>
          <w:lang w:val="ru-RU"/>
        </w:rPr>
        <w:t xml:space="preserve"> </w:t>
      </w:r>
      <w:r>
        <w:rPr/>
        <w:t xml:space="preserve">Reader</w:t>
      </w:r>
    </w:p>
    <w:p>
      <w:pPr/>
      <w:r>
        <w:rPr>
          <w:lang w:val="ru-RU"/>
        </w:rPr>
        <w:t xml:space="preserve">3. Средства поиска информации в глобальной сети Интернет и веб-пространстве: </w:t>
      </w:r>
      <w:r>
        <w:rPr/>
        <w:t xml:space="preserve">MS</w:t>
      </w:r>
      <w:r>
        <w:rPr>
          <w:lang w:val="ru-RU"/>
        </w:rPr>
        <w:t xml:space="preserve"> </w:t>
      </w:r>
      <w:r>
        <w:rPr/>
        <w:t xml:space="preserve">Internet</w:t>
      </w:r>
      <w:r>
        <w:rPr>
          <w:lang w:val="ru-RU"/>
        </w:rPr>
        <w:t xml:space="preserve"> Explorer, </w:t>
      </w:r>
      <w:r>
        <w:rPr/>
        <w:t xml:space="preserve">Mozilla</w:t>
      </w:r>
      <w:r>
        <w:rPr>
          <w:lang w:val="ru-RU"/>
        </w:rPr>
        <w:t xml:space="preserve"> </w:t>
      </w:r>
      <w:r>
        <w:rPr/>
        <w:t xml:space="preserve">Firefox</w:t>
      </w:r>
      <w:r>
        <w:rPr>
          <w:lang w:val="ru-RU"/>
        </w:rPr>
        <w:t xml:space="preserve">, </w:t>
      </w:r>
      <w:r>
        <w:rPr/>
        <w:t xml:space="preserve">Opera</w:t>
      </w:r>
      <w:r>
        <w:rPr>
          <w:lang w:val="ru-RU"/>
        </w:rPr>
        <w:t xml:space="preserve"> и др.</w:t>
      </w:r>
    </w:p>
    <w:p>
      <w:pPr>
        <w:jc w:val="start"/>
      </w:pPr>
      <w:r>
        <w:rPr/>
        <w:t xml:space="preserve">4. AutoCAD (AutoCAD, Education Multi-seat Stand-alone, Product key 001J1, Serial</w:t>
      </w:r>
    </w:p>
    <w:p>
      <w:pPr>
        <w:jc w:val="start"/>
      </w:pPr>
      <w:r>
        <w:rPr/>
        <w:t xml:space="preserve">number</w:t>
      </w:r>
      <w:r>
        <w:rPr>
          <w:lang w:val="ru-RU"/>
        </w:rPr>
        <w:t xml:space="preserve"> 566-52524357).</w:t>
      </w:r>
    </w:p>
    <w:p>
      <w:pPr>
        <w:jc w:val="start"/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start"/>
      </w:pPr>
      <w:r>
        <w:rPr>
          <w:lang w:val="ru-RU"/>
        </w:rPr>
        <w:t xml:space="preserve">Для проведения практических занятий необходим компьютерный класс, оборудованный техникой из расчета один компьютер на одного-двух обучающихся, с обустроенным рабочим местом преподавателя и мультимедийным оборудованием. Требуются персональные компьютеры, объединенные локальной сетью с выходом в глобальную сеть Internet. В аудитории должна быть также маркерная доска.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E2B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3196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F0F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3C2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D01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E90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3204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43496" TargetMode="External"/><Relationship Id="rId8" Type="http://schemas.openxmlformats.org/officeDocument/2006/relationships/hyperlink" Target="http://biblioclub.ru/index.php?page=book&amp;id=438412" TargetMode="External"/><Relationship Id="rId9" Type="http://schemas.openxmlformats.org/officeDocument/2006/relationships/hyperlink" Target="http://biblioclub.ru/index.php?page=book&amp;id=271492" TargetMode="External"/><Relationship Id="rId10" Type="http://schemas.openxmlformats.org/officeDocument/2006/relationships/hyperlink" Target="http://elibrary.karelia.ru/docs/selyutina/postroiki_pervob_chel_istor_str.konstr/total.pdf" TargetMode="External"/><Relationship Id="rId11" Type="http://schemas.openxmlformats.org/officeDocument/2006/relationships/hyperlink" Target="http://elibrary.karelia.ru/docs/selyutina/stroit_konstr_zentr_zap_evrop_ross_do_18v/total.pdf" TargetMode="External"/><Relationship Id="rId12" Type="http://schemas.openxmlformats.org/officeDocument/2006/relationships/hyperlink" Target="http://foliant.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2026-04-23T17:20:10+03:00</dcterms:created>
  <dcterms:modified xsi:type="dcterms:W3CDTF">2026-04-23T17:20:10+03:00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