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ГРАЖДАНСКОГО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 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гражданского права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начала реформирования гражданского законодательства.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Реформирование гражданского законодательства: состояние и перспективы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правового регулирования вещных прав на недвижимость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концепции развития гражданского законодательства Российской Федерации, утв.Указом Президента Российской Федерации от 18 июля 2008 года № 1108 «О совершенствовании Гражданского кодекса Российской Федерации» и ее реализация на практике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глав Гражданского кодекса РФ: «Недвижимые вещи» и «Право собственности и другие вещные права на здания, сооружения, объекты незавершенного строительства, помещения и машино-места».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гражданского права и их динамика.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Реформа залогового права в ГК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27.06.2023 N 23 &amp;quot;О применении судами правил о залоге вещей&amp;quot;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прочтение статьи Р.С. Бевзенко &amp;quot;Обеспечительная купля-продажа и залог&amp;quot; (текст статьи направляется в формате ПДФ старосте группы)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Прочтение монографии С.В. Сарбаш &amp;quot;Комментарий к постановлению  Пленума Верховного Суда Российской Федерации  от 24 декабря 2020 г. № 45  «О некоторых вопросах разрешения споров  о поручительстве»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(лекции);</w:t>
      </w:r>
    </w:p>
    <w:p>
      <w:pPr/>
      <w:r>
        <w:rPr/>
        <w:t xml:space="preserve">2)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В 2013 г. ОАО «Ямал» передало ООО «Ремжелдортех» автомотрису (рельсовый автобус) для капитального ремонта.</w:t>
      </w:r>
    </w:p>
    <w:p>
      <w:pPr/>
      <w:r>
        <w:rPr/>
        <w:t xml:space="preserve">Решением Арбитражного суда г. Москвы от 30 октября 2014 г. было установлено, что заказчик работы принял, но оплатил только их часть, в связи с чем с него надлежит взыскать в пользу подрядчика 5,5 млн руб. задолженности по оплате выполненных ремонтных работ и более 270 тыс. руб. неустойки, начисленной на сумму долга.</w:t>
      </w:r>
    </w:p>
    <w:p>
      <w:pPr/>
      <w:r>
        <w:rPr/>
        <w:t xml:space="preserve"> 31 ноября 2014 г. «Ремжелдортех» уведомил заказчика об удержании автомотрисы с принятием ее на ответственное хранение до полной уплаты задолженности.</w:t>
      </w:r>
    </w:p>
    <w:p>
      <w:pPr/>
      <w:r>
        <w:rPr/>
        <w:t xml:space="preserve">ОАО «Ямал» со ссылкой на статьи 301 и 302 ГК РФ обратилось с иском в суд об истребовании вещи из чужого незаконного владения.</w:t>
      </w:r>
    </w:p>
    <w:p>
      <w:pPr/>
      <w:r>
        <w:rPr/>
        <w:t xml:space="preserve">Оцените правомерность этих требований.</w:t>
      </w:r>
    </w:p>
    <w:p>
      <w:pPr/>
    </w:p>
    <w:p>
      <w:pPr/>
      <w:r>
        <w:rPr/>
        <w:t xml:space="preserve">АО "САЛЮТ" обратилось с иском к ООО "ПРОМЕТ" о взыскании 6 511 267 руб. 34 коп. неустойки за нарушение срока выполнения работ</w:t>
      </w:r>
    </w:p>
    <w:p>
      <w:pPr/>
      <w:r>
        <w:rPr/>
        <w:t xml:space="preserve">Как следует из материалов дела, 11.05.2016 между АО «Салют» (Заказчик) и ООО «Промет» (Исполнитель) был заключен договор на выполнение проектно-изыскательских работ, предметом которого является выполнение Исполнителем комплекса работ по проведению проектно-изыскательских работ дома культуры «Водник».</w:t>
      </w:r>
    </w:p>
    <w:p>
      <w:pPr/>
      <w:r>
        <w:rPr/>
        <w:t xml:space="preserve">Согласно п. 9.3 Договора в случае нарушения Исполнителем сроков выполнения работ/устранения недостатков работ, Исполнитель по письменному требованию Заказчика уплачивает неустойку в размере 0,5% от стоимости не выполненных надлежащим образом и в установленный срок работ за каждый день просрочки.</w:t>
      </w:r>
    </w:p>
    <w:p>
      <w:pPr/>
      <w:r>
        <w:rPr/>
        <w:t xml:space="preserve">Ответчик в своем отзыве заявил, что из-за непредоставления / несвоевременного предоставления исходных данных Ответчик не имел возможности в полном объеме по независящим от него причинам выполнить принятые на себя обязательства.</w:t>
      </w:r>
    </w:p>
    <w:p>
      <w:pPr/>
      <w:r>
        <w:rPr/>
        <w:t xml:space="preserve">Оцените доводы сторон со ссылками на нормы ГК РФ и дайте обоснованный ответ.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данной дисциплины включает следующие формы занятий: лекции, семинары, самостоятельная работа и экзамены, завершающие ее изучение.</w:t>
      </w:r>
    </w:p>
    <w:p>
      <w:pPr/>
      <w:r>
        <w:rPr/>
        <w:t xml:space="preserve">Для успешного прохождения аттестации по дисциплине студент должен изучить основную литературу, перечень которой содержится в данной программе. Дополнительная литература изучается студентом для углубленного освоения отдельных тем.</w:t>
      </w:r>
    </w:p>
    <w:p>
      <w:pPr/>
      <w:r>
        <w:rPr/>
        <w:t xml:space="preserve">Лекционный курс является авторским и требует посещения студентом аудиторных лекционных занятий.</w:t>
      </w:r>
    </w:p>
    <w:p>
      <w:pPr/>
      <w:r>
        <w:rPr/>
        <w:t xml:space="preserve">Семинарские занятия проводятся в соответствии с тематическим планом. Их целью является углубление знаний студентов по определенным темам, обсуждение актуальных научных и практических проблем, а также отработка умений и навыков работы с нормативными актами и правоприменительными актами.</w:t>
      </w:r>
    </w:p>
    <w:p>
      <w:pPr/>
      <w:r>
        <w:rPr/>
        <w:t xml:space="preserve">Задания на экзамены формулируются преподавателем в пределах данной программы курса с учетом навыков и умений, приобретению которых уделялось особое внимание во время лекционных и семинарских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"Гражданское право (часть вторая)", следует придерживаться следующих рекомендаций:</w:t>
      </w:r>
    </w:p>
    <w:p>
      <w:pPr>
        <w:numPr>
          <w:ilvl w:val="0"/>
          <w:numId w:val="1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1"/>
        </w:numPr>
      </w:pPr>
      <w:r>
        <w:rPr/>
        <w:t xml:space="preserve">Рекомендовать студентам иметь на занятиях Гражданский кодекс РФ.</w:t>
      </w:r>
    </w:p>
    <w:p>
      <w:pPr>
        <w:numPr>
          <w:ilvl w:val="0"/>
          <w:numId w:val="1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>
        <w:numPr>
          <w:ilvl w:val="0"/>
          <w:numId w:val="1"/>
        </w:numPr>
      </w:pPr>
      <w:r>
        <w:rPr/>
        <w:t xml:space="preserve">Внимательно относиться к рекомендациям преподавателя, связанным с изучением судебных актов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Саенко, Л. В. </w:t>
      </w:r>
      <w:r>
        <w:rPr/>
        <w:t xml:space="preserve"> Актуальные проблемы гражданского права и процесса : учебное пособие для вузов / Л. В. Саенко, Л. Г. Щербакова. — 2-е изд. — Москва : Издательство Юрайт, 2023. — 265 с. — (Высшее образование). — ISBN 978-5-534-11453-9.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https://urait.ru/bcode/517907</w:t>
        </w:r>
      </w:hyperlink>
      <w:r>
        <w:rPr/>
        <w:t xml:space="preserve"> (дата обращения: 13.10.2023).</w:t>
      </w:r>
    </w:p>
    <w:p>
      <w:pPr>
        <w:pStyle w:val="Heading5"/>
      </w:pPr>
      <w:r>
        <w:rPr/>
        <w:t xml:space="preserve">Общие положения о купле-продаже, поставка товара и купля-продажа недвижимости : комментарий к статьям 454–491, 506–524, 549–558 Гражданского кодекса Российской Федерации [Электронное издание. Редакция 1.0] / Отв. ред. А. Г. Карапетов. – Москва : М-Логос, 2023. – 1254 с.// </w:t>
      </w:r>
      <w:hyperlink r:id="rId8" w:history="1">
        <w:r>
          <w:rPr/>
          <w:t xml:space="preserve">https://m-lawbooks.ru/product/obshhie-polozheniya-o-kuple-prodazhe-postavka-tovara-i-kuplya-prodazha-nedvizhimosti-kommentarij-k-statyam-454-491-506-524-549-558-gk-rf-otv-red-a-g-karapetov/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Р.С. Бевзенко Обеспечительная купля-продажа и залог. Комментарий к определению Судебной коллегии по гражданским делам</w:t>
      </w:r>
      <w:br/>
      <w:r>
        <w:rPr/>
        <w:t xml:space="preserve">ВС РФ от 09.01.2018 № 32-КГ17-33 // </w:t>
      </w:r>
      <w:hyperlink r:id="rId9" w:history="1">
        <w:r>
          <w:rPr/>
          <w:t xml:space="preserve">https://www.pgplaw.ru/VEP%20Bevzenko%208-18.pdf</w:t>
        </w:r>
      </w:hyperlink>
    </w:p>
    <w:p>
      <w:pPr>
        <w:pStyle w:val="Heading5"/>
      </w:pPr>
      <w:r>
        <w:rPr/>
        <w:t xml:space="preserve">Принцип добросовестности : развитие, система, проблемы теории и практики [Электронное издание] / К. В. Нам. − 2-е изд., перераб. и доп. – Москва : М-Логос, 2023. – 388 с. // </w:t>
      </w:r>
      <w:hyperlink r:id="rId10" w:history="1">
        <w:r>
          <w:rPr/>
          <w:t xml:space="preserve">https://m-lawbooks.ru/product/k-v-nam-princzip-dobrosovestnosti-razvitie-sistema-problemy-teorii-i-praktiki/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СПС «Гарант»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СПС «Консультант Плюс»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96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9BA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5205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07" TargetMode="External"/><Relationship Id="rId8" Type="http://schemas.openxmlformats.org/officeDocument/2006/relationships/hyperlink" Target="https://m-lawbooks.ru/product/obshhie-polozheniya-o-kuple-prodazhe-postavka-tovara-i-kuplya-prodazha-nedvizhimosti-kommentarij-k-statyam-454-491-506-524-549-558-gk-rf-otv-red-a-g-karapetov/" TargetMode="External"/><Relationship Id="rId9" Type="http://schemas.openxmlformats.org/officeDocument/2006/relationships/hyperlink" Target="https://www.pgplaw.ru/VEP%20Bevzenko%208-18.pdf" TargetMode="External"/><Relationship Id="rId10" Type="http://schemas.openxmlformats.org/officeDocument/2006/relationships/hyperlink" Target="https://m-lawbooks.ru/product/k-v-nam-princzip-dobrosovestnosti-razvitie-sistema-problemy-teorii-i-prakt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2026-04-23T17:16:43+03:00</dcterms:created>
  <dcterms:modified xsi:type="dcterms:W3CDTF">2026-04-23T17:16:43+03:00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