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ЮРИДИЧЕСКИХ ДИСЦИПЛИН ПО ПРОФИЛЮ ПРОГРАММЫ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юридических дисциплин по профилю программы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часть.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часть.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Теоретические основы методики преподавания в высшей школе.  Особенности педагогического процесса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 Основные требования к преподавателю. Педагогическая этика.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Федеральный государственный образовательный стандарт как нормативно-правовая основа проектирования и реализации образовательных программ ВПО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Методика лекционного курса: план, программа, конспект лекций.  Лекция: понятие, виды. Особенности лекций по юридическим дисциплинам.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Методика проведения практических и семинарских занятий:  разработка тематики, планов проведения, учебно-методическое обеспечение и  проведение занятий  по юридическим дисциплинам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Новейшие методики обучения и возможности их использования в  практике преподавания юридических дисциплин.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Информационно-методическое обеспечение курсов по юриспруденции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Теоретические основы методики преподавания в высшей школе.  Особенности педагогического процесса в высшей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 Основные требования к преподавателю. Педагогическая этика.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Федеральный государственный образовательный стандарт как нормативно-правовая основа проектирования и реализации образовательных программ ВПО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Методика лекционного курса: план, программа, конспект лекций.  Лекция: понятие, виды. Особенности лекций по юридическим дисциплинам.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Методика проведения практических и семинарских занятий:  разработка тематики, планов проведения, учебно-методическое обеспечение и  проведение занятий  по юридическим дисциплинам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Новейшие методики обучения и возможности их использования в  практике преподавания юридических дисциплин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Информационно-методическое обеспечение курсов по юриспруденции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 научной литературы по теме 3 и 4.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образовательной технологией является проведение практических занятий в форме деловых игр в сочетании с проведением практической работы и подготовке студентами докладов и проектов.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Пример перечня вопросов для обсуждения по теме "</w:t>
      </w:r>
      <w:r>
        <w:rPr/>
        <w:t xml:space="preserve">Новейшие методики обучения и возможности их использования в практике преподавания юридических дисциплин"</w:t>
      </w:r>
    </w:p>
    <w:p>
      <w:pPr>
        <w:numPr>
          <w:ilvl w:val="0"/>
          <w:numId w:val="1"/>
        </w:numPr>
      </w:pPr>
      <w:r>
        <w:rPr/>
        <w:t xml:space="preserve">Инновации в педагогике. Причины появления новых педагогических технологий.</w:t>
      </w:r>
    </w:p>
    <w:p>
      <w:pPr>
        <w:numPr>
          <w:ilvl w:val="0"/>
          <w:numId w:val="1"/>
        </w:numPr>
      </w:pPr>
      <w:r>
        <w:rPr/>
        <w:t xml:space="preserve">Технологии пассивного обучения.</w:t>
      </w:r>
    </w:p>
    <w:p>
      <w:pPr>
        <w:numPr>
          <w:ilvl w:val="0"/>
          <w:numId w:val="1"/>
        </w:numPr>
      </w:pPr>
      <w:r>
        <w:rPr/>
        <w:t xml:space="preserve">Технологии активного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интерактивного обучения.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обучения.</w:t>
      </w:r>
    </w:p>
    <w:p>
      <w:pPr>
        <w:numPr>
          <w:ilvl w:val="0"/>
          <w:numId w:val="1"/>
        </w:numPr>
      </w:pPr>
      <w:r>
        <w:rPr/>
        <w:t xml:space="preserve">Игровое обучение (деловые и ролевые игры)</w:t>
      </w:r>
    </w:p>
    <w:p>
      <w:pPr>
        <w:numPr>
          <w:ilvl w:val="0"/>
          <w:numId w:val="1"/>
        </w:numPr>
      </w:pPr>
      <w:r>
        <w:rPr/>
        <w:t xml:space="preserve">«Кейс»-технологии</w:t>
      </w:r>
    </w:p>
    <w:p>
      <w:pPr>
        <w:numPr>
          <w:ilvl w:val="0"/>
          <w:numId w:val="1"/>
        </w:numPr>
      </w:pPr>
      <w:r>
        <w:rPr/>
        <w:t xml:space="preserve">Проектное обучение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/>
      <w:r>
        <w:rPr>
          <w:b w:val="1"/>
          <w:bCs w:val="1"/>
        </w:rPr>
        <w:t xml:space="preserve">Проблема</w:t>
      </w:r>
    </w:p>
    <w:p>
      <w:pPr/>
      <w:r>
        <w:rPr/>
        <w:t xml:space="preserve">: овладение обучающимися приемами самостоятельной учебно-познавательной деятельности.</w:t>
      </w:r>
    </w:p>
    <w:p>
      <w:pPr/>
      <w:r>
        <w:rPr/>
        <w:t xml:space="preserve">Главной задачей процесса обучения является формирование у обучающихся не только знаний, умений и навыков, но и способов мышления и деятельности, ценностно-смысловых отношений. При этом считается, что целесообразно создавать такие педагогические ситуации, в которых учащиеся осваивали бы некоторые общие приемы самостоятельной учебно-познавательной деятельности, решения разнообразных задач. Например, они должны узнать, как можно анализировать условие задачи, выделять ключевые вопросы, выбирать путь решения задачи, осуществлять самопроверку полученных результатов, корректировать свою деятельность.</w:t>
      </w:r>
    </w:p>
    <w:p>
      <w:pPr/>
      <w:r>
        <w:rPr>
          <w:i w:val="1"/>
          <w:iCs w:val="1"/>
        </w:rPr>
        <w:t xml:space="preserve">Задание: перечислите приемы поисковой деятельности, которые помогут обучающимся при самостоятельной работе над поставленной проблемой.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Перечень примерных вопросов для подготовки к зачету:</w:t>
      </w:r>
    </w:p>
    <w:p>
      <w:pPr>
        <w:numPr>
          <w:ilvl w:val="0"/>
          <w:numId w:val="2"/>
        </w:numPr>
      </w:pPr>
      <w:r>
        <w:rPr/>
        <w:t xml:space="preserve">Федеральные государственные образовательные стандарты высшего образования.</w:t>
      </w:r>
    </w:p>
    <w:p>
      <w:pPr>
        <w:numPr>
          <w:ilvl w:val="0"/>
          <w:numId w:val="2"/>
        </w:numPr>
      </w:pPr>
      <w:r>
        <w:rPr/>
        <w:t xml:space="preserve">Профессиональная и квалификационная характеристики. Профессиограмма.</w:t>
      </w:r>
    </w:p>
    <w:p>
      <w:pPr>
        <w:numPr>
          <w:ilvl w:val="0"/>
          <w:numId w:val="2"/>
        </w:numPr>
      </w:pPr>
      <w:r>
        <w:rPr/>
        <w:t xml:space="preserve">Периоды становления и развития системы профессионального образования в России.</w:t>
      </w:r>
    </w:p>
    <w:p>
      <w:pPr>
        <w:numPr>
          <w:ilvl w:val="0"/>
          <w:numId w:val="2"/>
        </w:numPr>
      </w:pPr>
      <w:r>
        <w:rPr/>
        <w:t xml:space="preserve">Структура профессионального образования по периодам его становления.</w:t>
      </w:r>
    </w:p>
    <w:p>
      <w:pPr>
        <w:numPr>
          <w:ilvl w:val="0"/>
          <w:numId w:val="2"/>
        </w:numPr>
      </w:pPr>
      <w:r>
        <w:rPr/>
        <w:t xml:space="preserve">Кадровое обеспечение системы высшего и среднего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Структура системы профессионального обучения в России.</w:t>
      </w:r>
    </w:p>
    <w:p>
      <w:pPr>
        <w:numPr>
          <w:ilvl w:val="0"/>
          <w:numId w:val="2"/>
        </w:numPr>
      </w:pPr>
      <w:r>
        <w:rPr/>
        <w:t xml:space="preserve">Задачи высшего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Содержание и структура среднего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Основные направления развития содержания профессионального образования.</w:t>
      </w:r>
    </w:p>
    <w:p>
      <w:pPr>
        <w:numPr>
          <w:ilvl w:val="0"/>
          <w:numId w:val="2"/>
        </w:numPr>
      </w:pPr>
      <w:r>
        <w:rPr/>
        <w:t xml:space="preserve">Нормативно-правовое обеспечение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Основные методы преподавания правовых дисциплин.</w:t>
      </w:r>
    </w:p>
    <w:p>
      <w:pPr>
        <w:numPr>
          <w:ilvl w:val="0"/>
          <w:numId w:val="2"/>
        </w:numPr>
      </w:pPr>
      <w:r>
        <w:rPr/>
        <w:t xml:space="preserve">Профессиональное мастерство учащихся как основа их профессиональной компетентности.</w:t>
      </w:r>
    </w:p>
    <w:p>
      <w:pPr>
        <w:numPr>
          <w:ilvl w:val="0"/>
          <w:numId w:val="2"/>
        </w:numPr>
      </w:pPr>
      <w:r>
        <w:rPr/>
        <w:t xml:space="preserve">Наглядно-демонстрационные методы в правовом обучении.</w:t>
      </w:r>
    </w:p>
    <w:p>
      <w:pPr>
        <w:numPr>
          <w:ilvl w:val="0"/>
          <w:numId w:val="2"/>
        </w:numPr>
      </w:pPr>
      <w:r>
        <w:rPr/>
        <w:t xml:space="preserve">Практические методы правового обучения.</w:t>
      </w:r>
    </w:p>
    <w:p>
      <w:pPr>
        <w:numPr>
          <w:ilvl w:val="0"/>
          <w:numId w:val="2"/>
        </w:numPr>
      </w:pPr>
      <w:r>
        <w:rPr/>
        <w:t xml:space="preserve">Планирование процесса правового обучения.</w:t>
      </w:r>
    </w:p>
    <w:p>
      <w:pPr>
        <w:numPr>
          <w:ilvl w:val="0"/>
          <w:numId w:val="2"/>
        </w:numPr>
      </w:pPr>
      <w:r>
        <w:rPr/>
        <w:t xml:space="preserve">Материально-техническое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Учебно-методическое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Педагогические стиль и методы работы педагога.</w:t>
      </w:r>
    </w:p>
    <w:p>
      <w:pPr>
        <w:numPr>
          <w:ilvl w:val="0"/>
          <w:numId w:val="2"/>
        </w:numPr>
      </w:pPr>
      <w:r>
        <w:rPr/>
        <w:t xml:space="preserve">Организация правового обучения с применением современной техники в учебных аудиториях.</w:t>
      </w:r>
    </w:p>
    <w:p>
      <w:pPr>
        <w:numPr>
          <w:ilvl w:val="0"/>
          <w:numId w:val="2"/>
        </w:numPr>
      </w:pPr>
      <w:r>
        <w:rPr/>
        <w:t xml:space="preserve">Задачи и формы методической работы при правовом обучении.</w:t>
      </w:r>
    </w:p>
    <w:p>
      <w:pPr>
        <w:numPr>
          <w:ilvl w:val="0"/>
          <w:numId w:val="2"/>
        </w:numPr>
      </w:pPr>
      <w:r>
        <w:rPr/>
        <w:t xml:space="preserve">Повышение педагогической квалификации преподавателей.</w:t>
      </w:r>
    </w:p>
    <w:p>
      <w:pPr>
        <w:numPr>
          <w:ilvl w:val="0"/>
          <w:numId w:val="2"/>
        </w:numPr>
      </w:pPr>
      <w:r>
        <w:rPr/>
        <w:t xml:space="preserve">Методика диагностики профессиональных знаний и умений обучающихся.</w:t>
      </w:r>
    </w:p>
    <w:p>
      <w:pPr>
        <w:numPr>
          <w:ilvl w:val="0"/>
          <w:numId w:val="2"/>
        </w:numPr>
      </w:pPr>
      <w:r>
        <w:rPr/>
        <w:t xml:space="preserve">Задачи подготовки квалифицированных юристов.</w:t>
      </w:r>
    </w:p>
    <w:p>
      <w:pPr>
        <w:numPr>
          <w:ilvl w:val="0"/>
          <w:numId w:val="2"/>
        </w:numPr>
      </w:pPr>
      <w:r>
        <w:rPr/>
        <w:t xml:space="preserve">Содержание и формы учебной деятельности.</w:t>
      </w:r>
    </w:p>
    <w:p>
      <w:pPr>
        <w:numPr>
          <w:ilvl w:val="0"/>
          <w:numId w:val="2"/>
        </w:numPr>
      </w:pPr>
      <w:r>
        <w:rPr/>
        <w:t xml:space="preserve">Организационные формы правового обучения.</w:t>
      </w:r>
    </w:p>
    <w:p>
      <w:pPr>
        <w:numPr>
          <w:ilvl w:val="0"/>
          <w:numId w:val="2"/>
        </w:numPr>
      </w:pPr>
      <w:r>
        <w:rPr/>
        <w:t xml:space="preserve">Учебные и сводно-тематические планы. Составление планов обучения.</w:t>
      </w:r>
    </w:p>
    <w:p>
      <w:pPr>
        <w:numPr>
          <w:ilvl w:val="0"/>
          <w:numId w:val="2"/>
        </w:numPr>
      </w:pPr>
      <w:r>
        <w:rPr/>
        <w:t xml:space="preserve">Перспективно-тематическое планирование учебных занятий.</w:t>
      </w:r>
    </w:p>
    <w:p>
      <w:pPr>
        <w:numPr>
          <w:ilvl w:val="0"/>
          <w:numId w:val="2"/>
        </w:numPr>
      </w:pPr>
      <w:r>
        <w:rPr/>
        <w:t xml:space="preserve">Педагогическое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Современная оргтехника для обеспечения учебного процесса.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В ходе подготовки к практическому занятию обучающемуся следует начинать работу над каждой темой с тщательного изучения плана практического занятия и списка рекомендованной литературы, затем необходимо обратиться к материалам учебников, так как они составляют основную теоретическую базу процесса обучения. Результаты исследований ведущих специалистов по методологии юридической науки содержатся в монографиях, статьях, опубликованных в журналах или межвузовских сборниках. Данный вид литературы служит методическим пособием для самостоятельной работы. </w:t>
      </w:r>
      <w:br/>
      <w:r>
        <w:rPr/>
        <w:t xml:space="preserve">При подготовке устного выступления на практическом занятии студент должен руководствоваться следующими требованиями: выступление должно строго соответствовать поставленному вопросу, заканчиваться выводом, в котором должна прозвучать главная идея выступления; в выступлении необходимо ссылаться на источники и литературу, по которым студент готовился; время выступления не должно превышать 10 минут. Выполнение этих требований позволит рассмотреть поставленные вопросы в полном объеме и даст возможность всем желающим высказаться по проблеме. </w:t>
      </w:r>
      <w:br/>
      <w:r>
        <w:rPr/>
        <w:t xml:space="preserve">Конкретным заданием для самостоятельной работы является изучение вопросов практических занятий с использованием литературы, указанной в перечне 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"Методика преподавания юридических дисциплин"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теоретические и практические основы изучаемой дисциплины.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Блинов, В. И. </w:t>
      </w:r>
      <w:r>
        <w:rPr/>
        <w:t xml:space="preserve"> Методика преподавания в высшей школе : учебно-практическое пособие / В. И. Блинов, В. Г. Виненко, И. С. Сергеев. — Москва : Издательство Юрайт, 2023. — 315 с. — (Высшее образование). — ISBN 978-5-534-02190-5.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https://urait.ru/bcode/510942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Ганьшина, Г. В.  Методика преподавания специальных дисциплин : учебное пособие для вузов / Г. В. Ганьшина. — 2-е изд. — Москва : Издательство Юрайт, 2022. — 195 с. — (Высшее образование). — ISBN 978-5-534-11433-1.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https://urait.ru/bcode/495697 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 справочная правовая система [Электронный ресурс].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http://elibrary.ru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http://government.ru/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http://cyberleninka.ru/</w:t>
        </w:r>
      </w:hyperlink>
      <w:r>
        <w:rPr/>
        <w:t xml:space="preserve">.</w:t>
      </w:r>
      <w:br/>
    </w:p>
    <w:p>
      <w:pPr>
        <w:numPr>
          <w:ilvl w:val="0"/>
          <w:numId w:val="5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http://prlib.ru/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http://rsl.ru/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Российская национальная библиотека: интернет-сайт [Электронный ресурс]. Режим доступа: </w:t>
      </w:r>
      <w:hyperlink r:id="rId15" w:history="1">
        <w:r>
          <w:rPr/>
          <w:t xml:space="preserve">http://nlr.ru/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науки и высшего образования РФ: официальный сайт </w:t>
      </w:r>
      <w:hyperlink r:id="rId16" w:history="1">
        <w:r>
          <w:rPr/>
          <w:t xml:space="preserve">https://minobrnauki.gov.ru</w:t>
        </w:r>
      </w:hyperlink>
    </w:p>
    <w:p>
      <w:pPr/>
      <w:r>
        <w:rPr/>
        <w:t xml:space="preserve">Программное обеспечение</w:t>
      </w:r>
      <w:r>
        <w:rPr/>
        <w:t xml:space="preserve">: </w:t>
      </w:r>
    </w:p>
    <w:p>
      <w:pPr>
        <w:numPr>
          <w:ilvl w:val="0"/>
          <w:numId w:val="6"/>
        </w:numPr>
      </w:pPr>
      <w:r>
        <w:rPr/>
        <w:t xml:space="preserve">MS Office 2013 Russian (Microsoft Office 2010 Russian, лицензия № 47122193, 02.07.2010); </w:t>
      </w:r>
    </w:p>
    <w:p>
      <w:pPr>
        <w:numPr>
          <w:ilvl w:val="0"/>
          <w:numId w:val="6"/>
        </w:numPr>
      </w:pPr>
      <w:r>
        <w:rPr/>
        <w:t xml:space="preserve">Windows Professional 7 Russian (Windows 7 Professional, лицензия № 47122193, от 02.07.2010); </w:t>
      </w:r>
    </w:p>
    <w:p>
      <w:pPr>
        <w:numPr>
          <w:ilvl w:val="0"/>
          <w:numId w:val="6"/>
        </w:numPr>
      </w:pPr>
      <w:r>
        <w:rPr/>
        <w:t xml:space="preserve">Dr. Web (серийный номер LZ2T-4M8C-JXKG-E4ZS от 2018-01-20 по 2021-02-24). 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BC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737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636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C03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E29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B04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DDB5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36B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6EF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942" TargetMode="External"/><Relationship Id="rId8" Type="http://schemas.openxmlformats.org/officeDocument/2006/relationships/hyperlink" Target="https://urait.ru/bcode/495697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elibrary.ru" TargetMode="External"/><Relationship Id="rId11" Type="http://schemas.openxmlformats.org/officeDocument/2006/relationships/hyperlink" Target="http://government.ru/" TargetMode="External"/><Relationship Id="rId12" Type="http://schemas.openxmlformats.org/officeDocument/2006/relationships/hyperlink" Target="http://cyberleninka.ru/" TargetMode="External"/><Relationship Id="rId13" Type="http://schemas.openxmlformats.org/officeDocument/2006/relationships/hyperlink" Target="http://prlib.ru/" TargetMode="External"/><Relationship Id="rId14" Type="http://schemas.openxmlformats.org/officeDocument/2006/relationships/hyperlink" Target="http://rsl.ru/" TargetMode="External"/><Relationship Id="rId15" Type="http://schemas.openxmlformats.org/officeDocument/2006/relationships/hyperlink" Target="http://nlr.ru/" TargetMode="External"/><Relationship Id="rId16" Type="http://schemas.openxmlformats.org/officeDocument/2006/relationships/hyperlink" Target="https://minobrnauk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2026-04-24T00:26:14+03:00</dcterms:created>
  <dcterms:modified xsi:type="dcterms:W3CDTF">2026-04-24T00:26:14+03:00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