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2023-2025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экономики и права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уголовного права и процесса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2023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ПРАКТИКИ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ПРОИЗВОДСТВЕННАЯ ПРАКТИКА</w:t>
      </w:r>
    </w:p>
    <w:p/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магистратуры</w:t>
      </w:r>
    </w:p>
    <w:p/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40.04.01 Юриспруденция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Магистерская программа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«Уголовное право, уголовный процесс и криминалистика»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2023</w:t>
      </w:r>
    </w:p>
    <w:p>
      <w:r>
        <w:br w:type="page"/>
      </w: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25.11.2020 №1451 и учебным планом по направлению подготовки магистратуры 40.04.01 Юриспруденция  (профиль «Уголовное право, уголовный процесс и криминалистика»).	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Разработчик(и):</w:t>
      </w: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Ермишина Наталья Сергеевна, директор, Институт экономики и права; доцент, кафедра уголовного права и процесса; и.о. заведующего кафедрой, кафедра уголовного права и процесса; ведущий научный сотрудник, Научно-исследовательский центр криминологического мониторинга, кандидат юридических наук.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/>
    <w:p>
      <w:pPr>
        <w:jc w:val="lowKashida"/>
      </w:pPr>
      <w:r>
        <w:rPr>
          <w:sz w:val="24"/>
          <w:szCs w:val="24"/>
        </w:rPr>
        <w:t xml:space="preserve">___________________________________________________________________________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jc w:val="lowKashida"/>
      </w:pPr>
      <w:r>
        <w:rPr>
          <w:sz w:val="24"/>
          <w:szCs w:val="24"/>
        </w:rPr>
        <w:t xml:space="preserve">___________________________________________________________________________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/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СОГЛАСОВАНО: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/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numTab"/>
        <w:spacing w:before="280" w:after="280"/>
      </w:pPr>
      <w:r>
        <w:rPr>
          <w:b w:val="1"/>
          <w:bCs w:val="1"/>
        </w:rPr>
        <w:t xml:space="preserve">1. Вид практики</w:t>
      </w:r>
    </w:p>
    <w:p>
      <w:pPr/>
      <w:r>
        <w:rPr/>
        <w:t xml:space="preserve">Производственная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2. Тип практики</w:t>
      </w:r>
    </w:p>
    <w:p>
      <w:pPr/>
      <w:r>
        <w:rPr/>
        <w:t xml:space="preserve">Практика по получению профессиональных умений и опыта профессиональной деятельности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3. Цели практики</w:t>
      </w:r>
    </w:p>
    <w:p>
      <w:pPr>
        <w:numPr>
          <w:ilvl w:val="0"/>
          <w:numId w:val="1"/>
        </w:numPr>
      </w:pPr>
      <w:r>
        <w:rPr/>
        <w:t xml:space="preserve">Приобретение, формирование и совершенствование практических навыков в выполнении профессиональных обязанностей;</w:t>
      </w:r>
    </w:p>
    <w:p>
      <w:pPr>
        <w:numPr>
          <w:ilvl w:val="0"/>
          <w:numId w:val="1"/>
        </w:numPr>
      </w:pPr>
      <w:r>
        <w:rPr/>
        <w:t xml:space="preserve">Углубление и закрепление теоретических и практических знаний, полученных магистрантами при освоении учебных дисциплин;</w:t>
      </w:r>
    </w:p>
    <w:p>
      <w:pPr>
        <w:numPr>
          <w:ilvl w:val="0"/>
          <w:numId w:val="1"/>
        </w:numPr>
      </w:pPr>
      <w:r>
        <w:rPr/>
        <w:t xml:space="preserve">Формирование компетенций обучающихся в процессе выполнения определенных видов работ, связанных с будущей профессиональной деятельностью (правоприменительной, правозащитной деятельности и юридического обслуживания граждан и организаций).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4. Задачи практики</w:t>
      </w:r>
    </w:p>
    <w:p>
      <w:pPr>
        <w:numPr>
          <w:ilvl w:val="0"/>
          <w:numId w:val="2"/>
        </w:numPr>
      </w:pPr>
      <w:r>
        <w:rPr/>
        <w:t xml:space="preserve">Общее ознакомление с деятельностью, организационно-правовой формой организации (ведомства);</w:t>
      </w:r>
    </w:p>
    <w:p>
      <w:pPr>
        <w:numPr>
          <w:ilvl w:val="0"/>
          <w:numId w:val="2"/>
        </w:numPr>
      </w:pPr>
      <w:r>
        <w:rPr/>
        <w:t xml:space="preserve">Изучение организационной структуры организации (ведомства) и функций отдельных подразделений;</w:t>
      </w:r>
    </w:p>
    <w:p>
      <w:pPr>
        <w:numPr>
          <w:ilvl w:val="0"/>
          <w:numId w:val="2"/>
        </w:numPr>
      </w:pPr>
      <w:r>
        <w:rPr/>
        <w:t xml:space="preserve">Изучение работы, функций и должностных обязанностей персонала;</w:t>
      </w:r>
    </w:p>
    <w:p>
      <w:pPr>
        <w:numPr>
          <w:ilvl w:val="0"/>
          <w:numId w:val="2"/>
        </w:numPr>
      </w:pPr>
      <w:r>
        <w:rPr/>
        <w:t xml:space="preserve">Изучение законодательных актов, регулирующих деятельность организации (ведомства);</w:t>
      </w:r>
    </w:p>
    <w:p>
      <w:pPr>
        <w:numPr>
          <w:ilvl w:val="0"/>
          <w:numId w:val="2"/>
        </w:numPr>
      </w:pPr>
      <w:r>
        <w:rPr/>
        <w:t xml:space="preserve">Изучение нормативных документов по вопросам управления в организации (ведомстве);</w:t>
      </w:r>
    </w:p>
    <w:p>
      <w:pPr>
        <w:numPr>
          <w:ilvl w:val="0"/>
          <w:numId w:val="2"/>
        </w:numPr>
      </w:pPr>
      <w:r>
        <w:rPr/>
        <w:t xml:space="preserve">Закрепление и расширение теоретических знаний и практических навыков применительно к профилю будущей работы, сбор материалов для написания выпускной квалификационной работы (магистерской диссертации);</w:t>
      </w:r>
    </w:p>
    <w:p>
      <w:pPr>
        <w:numPr>
          <w:ilvl w:val="0"/>
          <w:numId w:val="2"/>
        </w:numPr>
      </w:pPr>
      <w:r>
        <w:rPr/>
        <w:t xml:space="preserve">Выработка навыков самостоятельного анализа результатов работы;</w:t>
      </w:r>
    </w:p>
    <w:p>
      <w:pPr>
        <w:numPr>
          <w:ilvl w:val="0"/>
          <w:numId w:val="2"/>
        </w:numPr>
      </w:pPr>
      <w:r>
        <w:rPr/>
        <w:t xml:space="preserve">Получение представления о проблематике профессиональной деятельности в принимающей организации;</w:t>
      </w:r>
    </w:p>
    <w:p>
      <w:pPr>
        <w:numPr>
          <w:ilvl w:val="0"/>
          <w:numId w:val="2"/>
        </w:numPr>
      </w:pPr>
      <w:r>
        <w:rPr/>
        <w:t xml:space="preserve">Развитие навыков делового профессионального общения с соблюдением требований делового этикета и профессиональной этики.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5. Способы, формы и возможные места проведения практики</w:t>
      </w:r>
    </w:p>
    <w:p>
      <w:pPr/>
      <w:r>
        <w:rPr/>
        <w:t xml:space="preserve">Способы проведения практики: стационарная, выездная.</w:t>
      </w:r>
    </w:p>
    <w:p>
      <w:pPr/>
      <w:r>
        <w:rPr/>
        <w:t xml:space="preserve">Стационарная практика проводится в структурных подразделениях ПетрГУ или в профильных организациях, расположенных в г. Петрозаводске. Возможные места ее проведения:</w:t>
      </w:r>
    </w:p>
    <w:p>
      <w:pPr>
        <w:numPr>
          <w:ilvl w:val="0"/>
          <w:numId w:val="3"/>
        </w:numPr>
      </w:pPr>
      <w:r>
        <w:rPr/>
        <w:t xml:space="preserve">юридическая клиника ПетрГУ;</w:t>
      </w:r>
    </w:p>
    <w:p>
      <w:pPr>
        <w:numPr>
          <w:ilvl w:val="0"/>
          <w:numId w:val="3"/>
        </w:numPr>
      </w:pPr>
      <w:r>
        <w:rPr/>
        <w:t xml:space="preserve">суды: Арбитражный суд Республики Карелия, Петрозаводский городской суд, судебные участки мировых судей г. Петрозаводска;</w:t>
      </w:r>
    </w:p>
    <w:p>
      <w:pPr>
        <w:numPr>
          <w:ilvl w:val="0"/>
          <w:numId w:val="3"/>
        </w:numPr>
      </w:pPr>
      <w:r>
        <w:rPr/>
        <w:t xml:space="preserve">органы предварительного расследования: Следственное управление Следственного комитета Российской Федерации по Республике Карелия, Следственное управление МВД по Республике Карелия, УМВД по г. Петрозаводску и др.;</w:t>
      </w:r>
    </w:p>
    <w:p>
      <w:pPr>
        <w:numPr>
          <w:ilvl w:val="0"/>
          <w:numId w:val="3"/>
        </w:numPr>
      </w:pPr>
      <w:r>
        <w:rPr/>
        <w:t xml:space="preserve">иные организации и ведомства по согласованию с научным руководителем и дирекцией института.</w:t>
      </w:r>
    </w:p>
    <w:p>
      <w:pPr/>
      <w:r>
        <w:rPr/>
        <w:t xml:space="preserve">Выездная практика проводится вне г. Петрозаводска. Возможные места ее проведения:</w:t>
      </w:r>
    </w:p>
    <w:p>
      <w:pPr>
        <w:numPr>
          <w:ilvl w:val="0"/>
          <w:numId w:val="4"/>
        </w:numPr>
      </w:pPr>
      <w:r>
        <w:rPr/>
        <w:t xml:space="preserve">суды: районные и городские суды Республики Карелия и других регионов РФ, судебные участки мировых судей в районах и городах Республики Карелия и других регионах РФ;</w:t>
      </w:r>
    </w:p>
    <w:p>
      <w:pPr>
        <w:numPr>
          <w:ilvl w:val="0"/>
          <w:numId w:val="4"/>
        </w:numPr>
      </w:pPr>
      <w:r>
        <w:rPr/>
        <w:t xml:space="preserve">органы предварительного расследования в районах и городах Республики Карелия, а также других регионах РФ;</w:t>
      </w:r>
    </w:p>
    <w:p>
      <w:pPr>
        <w:numPr>
          <w:ilvl w:val="0"/>
          <w:numId w:val="4"/>
        </w:numPr>
      </w:pPr>
      <w:r>
        <w:rPr/>
        <w:t xml:space="preserve">иные организации и ведомства по согласованию с научным руководителем и дирекцией института.</w:t>
      </w:r>
    </w:p>
    <w:p>
      <w:pPr/>
    </w:p>
    <w:p>
      <w:pPr/>
      <w:r>
        <w:rPr/>
        <w:t xml:space="preserve">Форма проведения практики: </w:t>
      </w:r>
      <w:r>
        <w:rPr>
          <w:b w:val="1"/>
          <w:bCs w:val="1"/>
        </w:rPr>
        <w:t xml:space="preserve">дискретная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6. Перечень планируемых результатов обучения при прохождении практики, соотнесенных с планируемыми результатами освоения основной профессиональной образовательной программы (ОПОП) магистратуры</w:t>
      </w:r>
    </w:p>
    <w:tbl>
      <w:tblGrid>
        <w:gridCol w:w="2500" w:type="dxa"/>
        <w:gridCol w:w="2500" w:type="dxa"/>
        <w:gridCol w:w="5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5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УК-1
Итоговый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критический анализ проблемных ситуаций на основе системного подхода, вырабатывать стратегию действий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УК-1.1.  Анализирует проблемную ситуацию как систему, выявляя ее составляющие и связи между ними.
УК-1.2. Определяет пробелы в информации, необходимой для решения проблемной ситуации, и проектирует процессы по их устранению.
УК-1.3. Критически оценивает надежность источников информации, работает с противоречивой информацией из разных источников.
УК-1.4. Разрабатывает и содержательно аргументирует стратегию решения проблемной ситуации на основе системного и междисциплинарных подходов.
УК-1.5. Использует логико-методологический инструментарий для критической оценки современных концепций философского и социального характера в своей предметной области.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УК-2
Итоговый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управлять проектом на всех этапах его жизненного цикла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УК-2.1. Формулирование цели, задач, значимости, ожидаемых результатов проекта.
УК-2.2. Определение потребности в ресурсах для реализации проекта.
УК-2.3. Разработка плана реализации проекта.
УК-2.4. Контроль реализации проекта.
УК-2.5. Оценка эффективности реализации проекта и разработка плана действий по его корректировке.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УК-3
Итоговый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организовывать и руководить работой команды, вырабатывая командную стратегию для достижения поставленной цели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УК-3.1. Разработка целей команды в соответствии с целями проекта (организации)
УК-3.2. Формирование состава команды, определение функциональных и ролевых критериев отбора участников
УК-3.3. Разработка и корректировка плана работы команды
УК-3.4. Выбор правил командной работы как основы межличностного взаимодействия
УК-3.5. Выбор способов мотивации членов команды с учетом организационных возможностей и личностных особенностей членов команды, в т.ч. лиц с ограниченными возможностями здоровья
УК-3.6. Выбор стиля управления работой команды в соответствии с ситуацией
УК-3.7. Презентация результатов собственной и командной деятельности
УК-3.8. Оценка эффективности работы команды по достигнутому результату.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УК-4
Итоговый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применять современные коммуникативные технологии, в том числе на иностранном(ых) языке(ах), для академического и профессионального взаимодействия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УК-4.1. Поиск источников информации на русском и иностранном языках
УК-4.2. Использование информационно-коммуникационных технологий для поиска, обработки и представления информации
УК-4.3. Составление и корректный перевод академических и профессиональных текстов с иностранного языка на государственный язык РФ и с государственного языка РФ на иностранный 
УК-4.4. Выбор психологических способов оказания влияния и противодействия влиянию в процессе академического и профессионального взаимодействия
УК-4.5. Представление результатов академической и профессиональной деятельности на публичных мероприятиях
УК-4.6. Ведение академической и профессиональной дискуссии на государственном языке РФ и/или иностранном языке
УК-4.7. Выбор стиля делового общения применительно к ситуации взаимодействия, ведение деловой переписки.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УК-5
Итоговый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анализировать и учитывать разнообразие культур в процессе межкультурного взаимодействия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УК-5.1. Определение целей и задач межкультурного профессионального взаимодействия в условиях различных этнических, религиозных ценностных систем, выявление возможных проблемных ситуаций
УК-5.2. Выбор способов интеграции работников, принадлежащих к разным культурам, в производственную команду
УК-5.3. Выбор способа преодоления коммуникативных, образовательных, этнических, конфессиональных барьеров для межкультурного взаимодействия при решении профессиональных задач
УК-5.4. Выбор способа поведения в поликультурном коллективе при конфликтной ситуации.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УК-6
Итоговый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определять и реализовывать приоритеты собственной деятельности и способы ее совершенствования на основе самооценки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УК-6.1. Определение уровня самооценки и уровня притязаний как основы для выбора приоритетов собственной деятельности
УК-6.2. Определение приоритетов собственной деятельности, личностного развития и профессионального роста
УК-6.3. Выбор технологий целеполагания и целедостижения для постановки целей личностного развития и профессионального роста
УК-6.4. Оценка собственных (личностных, ситуативных, временных) ресурсов, выбор способов преодоления личностных ограничений на пути достижения целей
УК-6.5. Оценка требований рынка труда и образовательных услуг для выстраивания траектории собственного профессионального роста
УК-6.6. Оценка собственного ресурсного состояния, выбор средств коррекции ресурсного состояния
УК-6.7. Оценка индивидуального личностного потенциала, выбор техник самоорганизации и самоконтроля для реализации собственной деятельности.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
Итоговый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анализировать нестандартные ситуации правоприменительной практики и предлагать оптимальные варианты их решения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ОПК-1.1. Знает основные и специальные понятия и закономерности формирования, функционирования и развития права;
ОПК-1.2. Анализирует нестандартные ситуации правоприменительной практики и предлагает оптимальные варианты их решения;
ОПК-1.3. Владеет практическими навыками анализа нестандартных ситуаций правоприменительной практики и по выработке оптимальных вариантов их решения.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ОПК-2
Итоговый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самостоятельно готовить экспертные юридические заключения и проводить экспертизу нормативных (индивидуальных) правовых актов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ОПК-2.1. Знает специфику законодательного процесса, особенности основных этапов законодательного процесса и подготовки их результатов;
ОПК-2.2. Осуществляет самостоятельную подготовку экспертных юридических заключений и проводит экспертизу нормативных (индивидуальных) правовых актов;
ОПК-2.3. Владеет навыками подготовки экспертных юридических заключений и проведения экспертиз нормативных (индивидуальных) правовых актов.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ОПК-3
Итоговый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квалифицированно толковать правовые акты, в том числе в ситуациях наличия пробелов и коллизий норм прав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ОПК-3.1. Знает сущность и специфику всех способов и методов толкования правовых актов, способы устранения пробелов и коллизий в праве;
ОПК-3.2. Осуществляет квалифицированное толкование правовых актов;
ОПК-3.3. Владеет навыками квалифицированного толкования правовых актов с учетов их особенностей и специфики.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ОПК-4
Основной, Итоговый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письменно и устно аргументировать правовую позицию по делу, в том числе в состязательных процессах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ОПК-4.1. Знает содержание основных и специфических юридических понятий, терминов и определений;
ОПК-4.2. Умеет письменно и устно  аргументировать правовую позицию по делу, в том числе с учетом принципа состязательности судопроизводства;
ОПК-4.3. Владеет навыками профессиональной аргументации при оценке и обосновании принимаемых решений по делу;
ОПК-4.4. Владеет навыками составления юридических документов по делу;
ОПК-4.5. Обладает навыками публичных выступлений с аргументацией позиции для профессионального ведения полемики в судебном процессе.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ОПК-5
Основной, Итоговый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самостоятельно составлять юридические документы и разрабатывать проекты нормативных (индивидуальных) правовых актов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ОПК-5.1. Знает базовые и специфические правила составления юридических документов, виды  нормативно-правовых актов, виды правотворчества;
ОПК-5.2. Самостоятельно составляет юридические документы и разрабатывает проекты нормативных (индивидуальных) правовых актов;
ОПК-5.3. Владеет навыками составления юридических документов и разработки проектов нормативных (индивидуальных) правовых актов в соответствии с профилем своей профессиональной деятельности.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ОПК-6
Итоговый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обеспечивать соблюдение принципов этики юриста, в том числе принимать меры по профилактике коррупции и пресечению коррупционных (иных) правонарушений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ОПК-6.1. Знает специфику этических норм в профессиональной юридической деятельности;
ОПК-6.2. Обеспечивает соблюдение принципов этики в конкретных видах юридической деятельности, в том числе принимает меры по профилактике коррупции и пресечению коррупционных (иных) правонарушений;
ОПК-6.4. Владеет системными навыками в обеспечении соблюдения принципов этики юриста, в том числе в принятии мер по профилактике коррупции и пресечению коррупционных (иных) правонарушений.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ОПК-7
Итоговый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применять информационные технологии и использовать правовые базы данных для решения задач профессиональной деятельности с учетом требований информационной безопасности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ОПК-7.1. Знает основные информационные технологии и правовые базы для решения задач в различных сферах юридической деятельности;
ОПК-7.2. Применяет информационные технологии и использует правовые базы данных для решения задач профессиональной деятельности с учетом требований информационной безопасности;
ОПК-7.3. Владеет навыками информационного обслуживания и обработки данных для решения задач профессиональной деятельности с учетом требований информационной безопасности.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ПК-7
Итоговый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квалифицированно проводить научные исследования в области права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ПК-7.1. Знает порядок и правила содержательного и технического оформления и предоставления результатов различного вида научно-исследовательских работ в различных отраслях права;
ПК-7.2. Умеет правильно проводить и оформлять  результаты научных исследований в различных отраслях права;
ПК-7.3. Владеет навыками квалифицированно проводить научные исследования в различных отраслях права.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ПК-2
Итоговый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квалифицированно применять нормативные правовые акты в конкретных сферах юридической деятельности, реализовывать нормы материального и процессуального права в профессиональной деятельности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ПК-2.1. Знает специфику правового регулирования и правоприменительной практики в конкретных сферах юридической деятельности;
ПК-2.2. Применяет нормативные правовые акты в конкретных сферах юридической деятельности;
ПК-2.3. Реализует нормы материального и процессуального права в профессиональной деятельности;
ПК-2.4. Владеет навыками квалифицированного применения нормативных правовых актов в конкретных сферах юридической деятельности;
ПК-2.5. Владеет навыками реализации норм материального и процессуального права в профессиональной деятельности.</w:t>
            </w:r>
          </w:p>
        </w:tc>
      </w:tr>
    </w:tbl>
    <w:p>
      <w:pPr>
        <w:jc w:val="numTab"/>
        <w:spacing w:before="280" w:after="280"/>
      </w:pPr>
      <w:r>
        <w:rPr>
          <w:b w:val="1"/>
          <w:bCs w:val="1"/>
        </w:rPr>
        <w:t xml:space="preserve">7. Место практики в структуре ОПОП магистратуры</w:t>
      </w:r>
    </w:p>
    <w:p>
      <w:pPr/>
      <w:r>
        <w:rPr/>
        <w:t xml:space="preserve">Дисциплина "Производственная практика" входит в обязательную часть учебного плана основной образовательной программы магистратуры по данному направлению подготовки и является обязательной для изучения дисциплиной.</w:t>
      </w:r>
    </w:p>
    <w:p>
      <w:pPr/>
      <w:r>
        <w:rPr/>
        <w:t xml:space="preserve">Согласно учебному плану дисциплина проводится в 4 семестре.</w:t>
      </w:r>
    </w:p>
    <w:p>
      <w:pPr/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уровня, а также при изучении дисциплин и прохождении практики: 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8. Объём практики и ее продолжительность</w:t>
      </w:r>
    </w:p>
    <w:p>
      <w:pPr>
        <w:jc w:val="left"/>
        <w:ind w:left="468" w:right="0" w:firstLine="0" w:hanging="0"/>
      </w:pPr>
      <w:r>
        <w:rPr/>
        <w:t xml:space="preserve">Объём практики составляет 12 зач. ед.</w:t>
      </w:r>
      <w:br/>
      <w:r>
        <w:rPr/>
        <w:t xml:space="preserve">Продолжительность практики 8 недель.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9. Структура и краткое содержание практики по разделам и видам работ</w:t>
      </w:r>
    </w:p>
    <w:tbl>
      <w:tblGrid>
        <w:gridCol w:w="500" w:type="dxa"/>
        <w:gridCol w:w="4000" w:type="dxa"/>
        <w:gridCol w:w="500" w:type="dxa"/>
        <w:gridCol w:w="500" w:type="dxa"/>
        <w:gridCol w:w="500" w:type="dxa"/>
        <w:gridCol w:w="1000" w:type="dxa"/>
        <w:gridCol w:w="1500" w:type="dxa"/>
      </w:tblGrid>
      <w:tblPr>
        <w:tblW w:w="2500" w:type="auto"/>
        <w:tblLayout w:type="fixed"/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5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4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практики</w:t>
            </w:r>
          </w:p>
        </w:tc>
        <w:tc>
          <w:tcPr>
            <w:gridSpan w:val="4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15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500" w:type="dxa"/>
            <w:vMerge w:val="continue"/>
            <w:noWrap/>
          </w:tcPr>
          <w:p/>
        </w:tc>
        <w:tc>
          <w:tcPr>
            <w:tcW w:w="4000" w:type="dxa"/>
            <w:vMerge w:val="continue"/>
            <w:noWrap/>
          </w:tcPr>
          <w:p/>
        </w:tc>
        <w:tc>
          <w:tcPr>
            <w:tcW w:w="5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5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5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10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15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tcW w:w="4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Организационно-подготовительный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Другое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tcW w:w="4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Основной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426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426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Другое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tcW w:w="4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Заключительный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Другое; Зачет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производственная практика(зачет).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432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432</w:t>
            </w:r>
          </w:p>
        </w:tc>
        <w:tc>
          <w:tcPr>
            <w:noWrap/>
          </w:tcPr>
          <w:p/>
        </w:tc>
      </w:tr>
    </w:tbl>
    <w:p>
      <w:pPr>
        <w:jc w:val="numTab"/>
        <w:spacing w:before="280" w:after="280"/>
      </w:pPr>
      <w:r>
        <w:rPr>
          <w:b w:val="1"/>
          <w:bCs w:val="1"/>
        </w:rPr>
        <w:t xml:space="preserve">10. Содержание практики по разделам и видам работ</w:t>
      </w:r>
    </w:p>
    <w:p>
      <w:pPr>
        <w:jc w:val="center"/>
      </w:pPr>
      <w:r>
        <w:rPr>
          <w:b w:val="1"/>
          <w:bCs w:val="1"/>
        </w:rPr>
        <w:t xml:space="preserve">Организация самостоятельной работы обучающегося</w:t>
      </w:r>
    </w:p>
    <w:tbl>
      <w:tblGrid>
        <w:gridCol/>
        <w:gridCol w:w="10000" w:type="dxa"/>
        <w:gridCol/>
        <w:gridCol w:w="1000" w:type="dxa"/>
      </w:tblGrid>
      <w:tblPr>
        <w:tblW w:w="0" w:type="auto"/>
        <w:tblLayout w:type="autofit"/>
        <w:tblBorders>
          <w:top w:val="single" w:sz="1" w:color="FFF"/>
          <w:left w:val="single" w:sz="1" w:color="FFF"/>
          <w:right w:val="single" w:sz="1" w:color="FFF"/>
          <w:bottom w:val="single" w:sz="1" w:color="FFF"/>
          <w:insideH w:val="single" w:sz="1" w:color="FFF"/>
          <w:insideV w:val="single" w:sz="1" w:color="FFF"/>
        </w:tblBorders>
      </w:tblPr>
      <w:tr>
        <w:trPr>
          <w:trHeight w:val="2000" w:hRule="atLeast"/>
        </w:trPr>
        <w:tc>
          <w:tcPr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100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 при прохождении практики</w:t>
            </w:r>
          </w:p>
        </w:tc>
        <w:tc>
          <w:tcPr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0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Организационное собрание с руководителем практики от образовательного учреждения по вопросам программы и получения методических указаний по прохождению производственной практики, а также порядка заполнения отчетной документации по итогам прохождения практики.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Знакомство с правилами внутреннего трудового распорядка организации; выполнение индивидуальных заданий на местах практики.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426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отчетной документации по итогам прохождения производственной практики, подготовка к публичной защите результатов.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432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numTab"/>
        <w:spacing w:before="280" w:after="280"/>
      </w:pPr>
      <w:r>
        <w:rPr>
          <w:b w:val="1"/>
          <w:bCs w:val="1"/>
        </w:rPr>
        <w:t xml:space="preserve">11. Образовательные, научно-исследовательские и научно-производственные технологии, используемые на практике</w:t>
      </w:r>
    </w:p>
    <w:p>
      <w:pPr/>
      <w:r>
        <w:rPr/>
        <w:t xml:space="preserve">В процессе прохождения обучающимися производственной практики могут быть применены следующие образовательные технологии:</w:t>
      </w:r>
    </w:p>
    <w:p>
      <w:pPr>
        <w:numPr>
          <w:ilvl w:val="0"/>
          <w:numId w:val="5"/>
        </w:numPr>
      </w:pPr>
      <w:r>
        <w:rPr/>
        <w:t xml:space="preserve">составление таблиц и схем;</w:t>
      </w:r>
    </w:p>
    <w:p>
      <w:pPr>
        <w:numPr>
          <w:ilvl w:val="0"/>
          <w:numId w:val="5"/>
        </w:numPr>
      </w:pPr>
      <w:r>
        <w:rPr/>
        <w:t xml:space="preserve">встречи с представителями государственных органов и органов местного самоуправления, общественных объединений.</w:t>
      </w:r>
    </w:p>
    <w:p>
      <w:pPr/>
      <w:r>
        <w:rPr/>
        <w:t xml:space="preserve">научно-исследовательские технологии:</w:t>
      </w:r>
    </w:p>
    <w:p>
      <w:pPr>
        <w:numPr>
          <w:ilvl w:val="0"/>
          <w:numId w:val="6"/>
        </w:numPr>
      </w:pPr>
      <w:r>
        <w:rPr/>
        <w:t xml:space="preserve">подготовка обзора нормативно-правовых актов и научной литературы, презентация, «мини-конференция», «круглый стол».</w:t>
      </w:r>
    </w:p>
    <w:p>
      <w:pPr/>
      <w:r>
        <w:rPr/>
        <w:t xml:space="preserve">научно-производственные технологии:</w:t>
      </w:r>
    </w:p>
    <w:p>
      <w:pPr>
        <w:numPr>
          <w:ilvl w:val="0"/>
          <w:numId w:val="7"/>
        </w:numPr>
      </w:pPr>
      <w:r>
        <w:rPr/>
        <w:t xml:space="preserve">составление юридического документа, анализ конкретных ситуаций.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12. Методические рекомендации обучающимся по прохождению практики, формы отчетности и учебно-методическое обеспечение самостоятельной работы обучающихся по практике</w:t>
      </w:r>
    </w:p>
    <w:p>
      <w:pPr/>
      <w:r>
        <w:rPr/>
        <w:t xml:space="preserve">Для аттестации по итогам производственной практики необходимо предоставить:</w:t>
      </w:r>
    </w:p>
    <w:p>
      <w:pPr>
        <w:numPr>
          <w:ilvl w:val="0"/>
          <w:numId w:val="8"/>
        </w:numPr>
      </w:pPr>
      <w:r>
        <w:rPr/>
        <w:t xml:space="preserve">Отчет о прохождении практики по установленной форме: титульный лист, текст отчета (начинается со следующей страницы и пишется от первого лица), приложения (если имеются).</w:t>
      </w:r>
    </w:p>
    <w:p>
      <w:pPr/>
      <w:r>
        <w:rPr/>
        <w:t xml:space="preserve">В тексте отчета обучающийся также должен отразить выполнение индивидуальных заданий во время прохождения практики (составление юридических процессуальных документов, таблиц, схем и др.), которые оформляются Приложениями к отчету (каждое Приложение оформляется с новой страницы и последующей нумерацией - Приложение 1, Приложение 2, Приложение 3 и т.д.). В тексте отчета они также называются и комментируются с пометкой в скобках (н-р: Приложение № 1, Приложение № 2, Приложение № 3 и т.д.)</w:t>
      </w:r>
    </w:p>
    <w:p>
      <w:pPr>
        <w:numPr>
          <w:ilvl w:val="0"/>
          <w:numId w:val="9"/>
        </w:numPr>
      </w:pPr>
      <w:r>
        <w:rPr/>
        <w:t xml:space="preserve">Дневник по установленной форме.</w:t>
      </w:r>
    </w:p>
    <w:p>
      <w:pPr>
        <w:numPr>
          <w:ilvl w:val="0"/>
          <w:numId w:val="9"/>
        </w:numPr>
      </w:pPr>
      <w:r>
        <w:rPr/>
        <w:t xml:space="preserve">Характеристика.</w:t>
      </w:r>
    </w:p>
    <w:p>
      <w:pPr/>
      <w:r>
        <w:rPr/>
        <w:t xml:space="preserve"> Обучающимся необходимо:</w:t>
      </w:r>
    </w:p>
    <w:p>
      <w:pPr>
        <w:numPr>
          <w:ilvl w:val="0"/>
          <w:numId w:val="10"/>
        </w:numPr>
      </w:pPr>
      <w:r>
        <w:rPr/>
        <w:t xml:space="preserve">соблюдать при подготовке отчетов и дневников установленные формы;</w:t>
      </w:r>
    </w:p>
    <w:p>
      <w:pPr>
        <w:numPr>
          <w:ilvl w:val="0"/>
          <w:numId w:val="10"/>
        </w:numPr>
      </w:pPr>
      <w:r>
        <w:rPr/>
        <w:t xml:space="preserve">после аттестации размещать отчетные документы по практике в электронном Портфолио обучающегося в виде файлов титульного листа отчета, отчета с приложениями (если имеются), скан-копий дневника и характеристики.</w:t>
      </w:r>
    </w:p>
    <w:p>
      <w:pPr/>
      <w:r>
        <w:rPr/>
        <w:t xml:space="preserve">В каждом ведомстве/организации собственная программа прохождения производственной практики.</w:t>
      </w:r>
    </w:p>
    <w:p>
      <w:pPr/>
      <w:r>
        <w:rPr>
          <w:b w:val="1"/>
          <w:bCs w:val="1"/>
          <w:u w:val="single"/>
        </w:rPr>
        <w:t xml:space="preserve">Пример программы производственной практики в судах:</w:t>
      </w:r>
    </w:p>
    <w:p>
      <w:pPr/>
      <w:r>
        <w:rPr/>
        <w:t xml:space="preserve">Практика в суде начинается с изучения положений нормативных правовых актов, регулирующих функционирование судебной системы РФ (ФКЗ «О судебной системе РФ», ФКЗ «О судах общей юрисдикции», ФКЗ «Об арбитражных судах в РФ» и другие).</w:t>
      </w:r>
    </w:p>
    <w:p>
      <w:pPr/>
      <w:r>
        <w:rPr/>
        <w:t xml:space="preserve">В ходе практики обучающиеся знакомятся с:</w:t>
      </w:r>
    </w:p>
    <w:p>
      <w:pPr>
        <w:numPr>
          <w:ilvl w:val="0"/>
          <w:numId w:val="11"/>
        </w:numPr>
      </w:pPr>
      <w:r>
        <w:rPr/>
        <w:t xml:space="preserve">содержанием инструкции по делопроизводству;</w:t>
      </w:r>
    </w:p>
    <w:p>
      <w:pPr>
        <w:numPr>
          <w:ilvl w:val="0"/>
          <w:numId w:val="11"/>
        </w:numPr>
      </w:pPr>
      <w:r>
        <w:rPr/>
        <w:t xml:space="preserve">распределением обязанностей между работниками канцелярии;</w:t>
      </w:r>
    </w:p>
    <w:p>
      <w:pPr>
        <w:numPr>
          <w:ilvl w:val="0"/>
          <w:numId w:val="11"/>
        </w:numPr>
      </w:pPr>
      <w:r>
        <w:rPr/>
        <w:t xml:space="preserve">организацией приема граждан;</w:t>
      </w:r>
    </w:p>
    <w:p>
      <w:pPr>
        <w:numPr>
          <w:ilvl w:val="0"/>
          <w:numId w:val="11"/>
        </w:numPr>
      </w:pPr>
      <w:r>
        <w:rPr/>
        <w:t xml:space="preserve">приемом и отправкой корреспонденции;</w:t>
      </w:r>
    </w:p>
    <w:p>
      <w:pPr>
        <w:numPr>
          <w:ilvl w:val="0"/>
          <w:numId w:val="11"/>
        </w:numPr>
      </w:pPr>
      <w:r>
        <w:rPr/>
        <w:t xml:space="preserve">приемом и учетом кассационных жалоб и протестов;</w:t>
      </w:r>
    </w:p>
    <w:p>
      <w:pPr>
        <w:numPr>
          <w:ilvl w:val="0"/>
          <w:numId w:val="11"/>
        </w:numPr>
      </w:pPr>
      <w:r>
        <w:rPr/>
        <w:t xml:space="preserve">порядком извещения и вызова в суд лиц, участвующих в рассмотрении дел.</w:t>
      </w:r>
    </w:p>
    <w:p>
      <w:pPr/>
      <w:r>
        <w:rPr/>
        <w:t xml:space="preserve">Обучающиеся знакомятся с организацией работы:</w:t>
      </w:r>
    </w:p>
    <w:p>
      <w:pPr>
        <w:numPr>
          <w:ilvl w:val="0"/>
          <w:numId w:val="12"/>
        </w:numPr>
      </w:pPr>
      <w:r>
        <w:rPr/>
        <w:t xml:space="preserve">секретаря судебного заседания и его обязанностями;</w:t>
      </w:r>
    </w:p>
    <w:p>
      <w:pPr>
        <w:numPr>
          <w:ilvl w:val="0"/>
          <w:numId w:val="12"/>
        </w:numPr>
      </w:pPr>
      <w:r>
        <w:rPr/>
        <w:t xml:space="preserve">помощника судьи и его обязанностями;</w:t>
      </w:r>
    </w:p>
    <w:p>
      <w:pPr>
        <w:numPr>
          <w:ilvl w:val="0"/>
          <w:numId w:val="12"/>
        </w:numPr>
      </w:pPr>
      <w:r>
        <w:rPr/>
        <w:t xml:space="preserve">судьи при проведении приема граждан, подготовкой, назначением дел к судебному разбирательству, а также уясняют основы взаимодействия с органами прокуратуры и МВД;</w:t>
      </w:r>
    </w:p>
    <w:p>
      <w:pPr>
        <w:numPr>
          <w:ilvl w:val="0"/>
          <w:numId w:val="12"/>
        </w:numPr>
      </w:pPr>
      <w:r>
        <w:rPr/>
        <w:t xml:space="preserve">изучают основы взаимодействия судов с Федеральной службой судебных приставов.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13. Оценочные средства для текущего контроля успеваемости, промежуточной аттестации обучающихся по практике с критериями оценивания</w:t>
      </w:r>
    </w:p>
    <w:p>
      <w:pPr>
        <w:jc w:val="numTab"/>
        <w:spacing w:before="280" w:after="280"/>
      </w:pPr>
      <w:r>
        <w:rPr/>
        <w:t xml:space="preserve">13.1. Текущий контроль осуществляется преподавателем дисциплины при проведении занятий в форме: </w:t>
      </w:r>
      <w:r>
        <w:rPr/>
        <w:t xml:space="preserve">индивидуальные задания для проведения практики; дневник; отчет о прохождении практики; характеристика.</w:t>
      </w:r>
    </w:p>
    <w:p>
      <w:pPr>
        <w:jc w:val="numTab"/>
        <w:spacing w:before="280" w:after="280"/>
      </w:pPr>
      <w:r>
        <w:rPr/>
        <w:t xml:space="preserve">Оценочные средства для текущего контроля.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Индивидуальные задания для проведения практики</w:t>
      </w:r>
    </w:p>
    <w:p>
      <w:pPr/>
      <w:r>
        <w:rPr>
          <w:b w:val="1"/>
          <w:bCs w:val="1"/>
        </w:rPr>
        <w:t xml:space="preserve">Перечень индивидуальных заданий для проведения практики:</w:t>
      </w:r>
    </w:p>
    <w:p>
      <w:pPr>
        <w:numPr>
          <w:ilvl w:val="0"/>
          <w:numId w:val="13"/>
        </w:numPr>
      </w:pPr>
      <w:r>
        <w:rPr/>
        <w:t xml:space="preserve">изучение нормативных правовых актов, регулирующих функционирование судебной системы РФ, МВД РФ и следственных отделов ОВД, органов прокуратуры РФ, органов Следственного комитета РФ, законодательных и исполнительных органов государственной власти федерального и регионального уровней, органов местного самоуправления, налоговых органов, таможенных органов, органов адвокатуры и нотариата, кредитных и иных коммерческих организаций, некоммерческих общественных организаций.</w:t>
      </w:r>
    </w:p>
    <w:p>
      <w:pPr>
        <w:numPr>
          <w:ilvl w:val="0"/>
          <w:numId w:val="13"/>
        </w:numPr>
      </w:pPr>
      <w:r>
        <w:rPr/>
        <w:t xml:space="preserve">изучение и характеристика учредительных документов и правоприменительных актов органов и организаций, являющихся местами проведения практики.</w:t>
      </w:r>
    </w:p>
    <w:p>
      <w:pPr>
        <w:numPr>
          <w:ilvl w:val="0"/>
          <w:numId w:val="13"/>
        </w:numPr>
      </w:pPr>
      <w:r>
        <w:rPr/>
        <w:t xml:space="preserve">применение нормативных правовых актов и реализация норм материального и процессуального права в профессиональной деятельности в органах и организациях, являющихся местами проведения практики.</w:t>
      </w:r>
    </w:p>
    <w:p>
      <w:pPr>
        <w:numPr>
          <w:ilvl w:val="0"/>
          <w:numId w:val="13"/>
        </w:numPr>
      </w:pPr>
      <w:r>
        <w:rPr/>
        <w:t xml:space="preserve">подготовка квалифицированных юридических заключений и консультаций в конкретных видах юридической деятельности по поручению руководителя практики в органах и организациях, являющихся местами проведения практики.</w:t>
      </w:r>
    </w:p>
    <w:p>
      <w:pPr>
        <w:numPr>
          <w:ilvl w:val="0"/>
          <w:numId w:val="13"/>
        </w:numPr>
      </w:pPr>
      <w:r>
        <w:rPr/>
        <w:t xml:space="preserve">изучение общего порядка и организации работы суда: работы канцелярии, порядка поступления и регистрации дел.</w:t>
      </w:r>
    </w:p>
    <w:p>
      <w:pPr>
        <w:numPr>
          <w:ilvl w:val="0"/>
          <w:numId w:val="13"/>
        </w:numPr>
      </w:pPr>
      <w:r>
        <w:rPr/>
        <w:t xml:space="preserve">изучение порядка назначения судебных заседаний, их процедуры и порядка исполнения вступившего в законную силу судебного решения.</w:t>
      </w:r>
    </w:p>
    <w:p>
      <w:pPr>
        <w:numPr>
          <w:ilvl w:val="0"/>
          <w:numId w:val="13"/>
        </w:numPr>
      </w:pPr>
      <w:r>
        <w:rPr/>
        <w:t xml:space="preserve">изучение рассмотрения и разрешения дел, применения судом норм материального и процессуального права, судебной практики по конкретным категориям дел в процессе посещения судебных заседаний по гражданским, административным, уголовным делам (не менее 11-ти заседаний).</w:t>
      </w:r>
    </w:p>
    <w:p>
      <w:pPr>
        <w:numPr>
          <w:ilvl w:val="0"/>
          <w:numId w:val="13"/>
        </w:numPr>
      </w:pPr>
      <w:r>
        <w:rPr/>
        <w:t xml:space="preserve">изучение нормативных документов МВД РФ по вопросам следственной работы и дознания.</w:t>
      </w:r>
    </w:p>
    <w:p>
      <w:pPr>
        <w:numPr>
          <w:ilvl w:val="0"/>
          <w:numId w:val="13"/>
        </w:numPr>
      </w:pPr>
      <w:r>
        <w:rPr/>
        <w:t xml:space="preserve">изучение методики и тактики производства следственных действий: осмотра места происшествия, вещественных доказательств, следственных экспериментов, обысков и др.</w:t>
      </w:r>
    </w:p>
    <w:p>
      <w:pPr>
        <w:numPr>
          <w:ilvl w:val="0"/>
          <w:numId w:val="13"/>
        </w:numPr>
      </w:pPr>
      <w:r>
        <w:rPr/>
        <w:t xml:space="preserve">изучение методики проведения проверки и порядка возбуждения и расследования уголовных дел в органах Следственного Комитета РФ.</w:t>
      </w:r>
    </w:p>
    <w:p>
      <w:pPr>
        <w:numPr>
          <w:ilvl w:val="0"/>
          <w:numId w:val="13"/>
        </w:numPr>
      </w:pPr>
      <w:r>
        <w:rPr/>
        <w:t xml:space="preserve">изучение форм и методов прокурорского надзора за исполнением законов и законностью правовых актов; за процессуальной деятельностью органов дознания и органов предварительного следствия.</w:t>
      </w:r>
    </w:p>
    <w:p>
      <w:pPr>
        <w:numPr>
          <w:ilvl w:val="0"/>
          <w:numId w:val="13"/>
        </w:numPr>
      </w:pPr>
      <w:r>
        <w:rPr/>
        <w:t xml:space="preserve">изучение деятельности прокурора по поддержанию государственного обвинения; по предъявлению исков и заявлений в защиту прав и законных интересов граждан, общества и государства и участию в рассмотрении гражданских и административных дел судом первой инстанции.</w:t>
      </w:r>
    </w:p>
    <w:p>
      <w:pPr>
        <w:numPr>
          <w:ilvl w:val="0"/>
          <w:numId w:val="13"/>
        </w:numPr>
      </w:pPr>
      <w:r>
        <w:rPr/>
        <w:t xml:space="preserve">изучение организации работы по участию прокурора в рассмотрении дел в судах, обязанностей и прав прокурора и методов осуществления прокурором своих полномочий в суде, присутствие при рассмотрении судебных дел с участием прокурора.</w:t>
      </w:r>
    </w:p>
    <w:p>
      <w:pPr>
        <w:numPr>
          <w:ilvl w:val="0"/>
          <w:numId w:val="13"/>
        </w:numPr>
      </w:pPr>
      <w:r>
        <w:rPr/>
        <w:t xml:space="preserve">изучение Положения о юридической клинике ПетрГУ, Правил работы в юридической клинике ПетрГУ, процедуры оказания юридической помощи гражданам: консультаций, разъяснений, подготовки процессуальных документов.</w:t>
      </w:r>
    </w:p>
    <w:p>
      <w:pPr>
        <w:numPr>
          <w:ilvl w:val="0"/>
          <w:numId w:val="13"/>
        </w:numPr>
      </w:pPr>
      <w:r>
        <w:rPr/>
        <w:t xml:space="preserve">изучение организации делопроизводства и участие в осуществлении  делопроизводства в судах, органах СК РФ, в органах следствия МВД РФ, в органах прокуратуры и в других органах и организациях, являющихся местами проведения практики.</w:t>
      </w:r>
    </w:p>
    <w:p>
      <w:pPr>
        <w:numPr>
          <w:ilvl w:val="0"/>
          <w:numId w:val="13"/>
        </w:numPr>
      </w:pPr>
      <w:r>
        <w:rPr/>
        <w:t xml:space="preserve">работа с документами, составляющими текущий документооборот суда, органов прокуратуры, органов МВД РФ, органов СК РФ и других органов и организаций, являющихся местами проведения практики.</w:t>
      </w:r>
    </w:p>
    <w:p>
      <w:pPr>
        <w:numPr>
          <w:ilvl w:val="0"/>
          <w:numId w:val="13"/>
        </w:numPr>
      </w:pPr>
      <w:r>
        <w:rPr/>
        <w:t xml:space="preserve">подготовка проектов процессуальных документов гражданского, уголовного и административного судопроизводства: повесток в суд, исковых заявлений, обращений и др. под руководством судьи (помощника судьи).</w:t>
      </w:r>
    </w:p>
    <w:p>
      <w:pPr>
        <w:numPr>
          <w:ilvl w:val="0"/>
          <w:numId w:val="13"/>
        </w:numPr>
      </w:pPr>
      <w:r>
        <w:rPr/>
        <w:t xml:space="preserve">составление проекта  решения, постановления или определения суда под руководством судьи (помощника судьи).</w:t>
      </w:r>
    </w:p>
    <w:p>
      <w:pPr>
        <w:numPr>
          <w:ilvl w:val="0"/>
          <w:numId w:val="13"/>
        </w:numPr>
      </w:pPr>
      <w:r>
        <w:rPr/>
        <w:t xml:space="preserve">составление проектов процессуальных документов под руководством прокурора, следователя ОВД, следователя органов СК РФ и руководителей практики в других органах и организациях, являющихся местами проведения практики.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Дневник</w:t>
      </w:r>
    </w:p>
    <w:p>
      <w:pPr/>
      <w:r>
        <w:rPr/>
        <w:t xml:space="preserve">Обучающийся должен ежедневно вести записи в Дневнике практики, отражая проделанную работу и выполненные задания.</w:t>
      </w:r>
    </w:p>
    <w:p>
      <w:pPr/>
      <w:r>
        <w:rPr/>
        <w:t xml:space="preserve">Форма дневника: титульный лист, на следующей странице хронологическая таблица с указанием выполненных на практике заданий, подписанная руководителем практики от принимающей организации.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Отчет о прохождении практики</w:t>
      </w:r>
    </w:p>
    <w:p>
      <w:pPr/>
      <w:r>
        <w:rPr>
          <w:b w:val="1"/>
          <w:bCs w:val="1"/>
        </w:rPr>
        <w:t xml:space="preserve">Требования к оформлению отчета:</w:t>
      </w:r>
    </w:p>
    <w:p>
      <w:pPr>
        <w:numPr>
          <w:ilvl w:val="0"/>
          <w:numId w:val="14"/>
        </w:numPr>
      </w:pPr>
      <w:r>
        <w:rPr/>
        <w:t xml:space="preserve">объем – не менее 4-х стр. А4 основного текста + Приложения 3-5 стр. А4;</w:t>
      </w:r>
    </w:p>
    <w:p>
      <w:pPr>
        <w:numPr>
          <w:ilvl w:val="0"/>
          <w:numId w:val="14"/>
        </w:numPr>
      </w:pPr>
      <w:r>
        <w:rPr/>
        <w:t xml:space="preserve">поля: левое — 20 мм; правое — 10 мм; верхнее — 20 мм; нижнее — 20 мм.</w:t>
      </w:r>
    </w:p>
    <w:p>
      <w:pPr>
        <w:numPr>
          <w:ilvl w:val="0"/>
          <w:numId w:val="14"/>
        </w:numPr>
      </w:pPr>
      <w:r>
        <w:rPr/>
        <w:t xml:space="preserve">шрифт «Times New Roman», размер - 14, полуторный интервал.</w:t>
      </w:r>
    </w:p>
    <w:p>
      <w:pPr/>
      <w:r>
        <w:rPr>
          <w:b w:val="1"/>
          <w:bCs w:val="1"/>
        </w:rPr>
        <w:t xml:space="preserve">План отчета:</w:t>
      </w:r>
    </w:p>
    <w:p>
      <w:pPr>
        <w:numPr>
          <w:ilvl w:val="0"/>
          <w:numId w:val="15"/>
        </w:numPr>
      </w:pPr>
      <w:r>
        <w:rPr/>
        <w:t xml:space="preserve">Каковы назначение и цели деятельности, организации (учреждения), в которой обучающийся проходил практику?</w:t>
      </w:r>
    </w:p>
    <w:p>
      <w:pPr>
        <w:numPr>
          <w:ilvl w:val="0"/>
          <w:numId w:val="15"/>
        </w:numPr>
      </w:pPr>
      <w:r>
        <w:rPr/>
        <w:t xml:space="preserve">Каково место организации в системе органов государственной власти, государственного управления и (или) правосудия?</w:t>
      </w:r>
    </w:p>
    <w:p>
      <w:pPr>
        <w:numPr>
          <w:ilvl w:val="0"/>
          <w:numId w:val="15"/>
        </w:numPr>
      </w:pPr>
      <w:r>
        <w:rPr/>
        <w:t xml:space="preserve">Какова организационная структура организации (учреждения), в которой обучающийся проходил учебную практику?</w:t>
      </w:r>
    </w:p>
    <w:p>
      <w:pPr>
        <w:numPr>
          <w:ilvl w:val="0"/>
          <w:numId w:val="15"/>
        </w:numPr>
      </w:pPr>
      <w:r>
        <w:rPr/>
        <w:t xml:space="preserve">На основании каких учредительных документов функционирует данная организация (учреждение)?</w:t>
      </w:r>
    </w:p>
    <w:p>
      <w:pPr>
        <w:numPr>
          <w:ilvl w:val="0"/>
          <w:numId w:val="15"/>
        </w:numPr>
      </w:pPr>
      <w:r>
        <w:rPr/>
        <w:t xml:space="preserve">Какими основными нормативными правовыми актами руководствуется в своей деятельности данная организация (учреждение)?</w:t>
      </w:r>
    </w:p>
    <w:p>
      <w:pPr>
        <w:numPr>
          <w:ilvl w:val="0"/>
          <w:numId w:val="15"/>
        </w:numPr>
      </w:pPr>
      <w:r>
        <w:rPr/>
        <w:t xml:space="preserve">Каковы полномочия организации в соответствии с регулирующими ее деятельность управомочивающими нормативными правовыми актами?</w:t>
      </w:r>
    </w:p>
    <w:p>
      <w:pPr>
        <w:numPr>
          <w:ilvl w:val="0"/>
          <w:numId w:val="15"/>
        </w:numPr>
      </w:pPr>
      <w:r>
        <w:rPr/>
        <w:t xml:space="preserve">Какие знания, умения и навыки были приобретены / развиты в результате прохождения практики?</w:t>
      </w:r>
    </w:p>
    <w:p>
      <w:pPr>
        <w:numPr>
          <w:ilvl w:val="0"/>
          <w:numId w:val="15"/>
        </w:numPr>
      </w:pPr>
      <w:r>
        <w:rPr/>
        <w:t xml:space="preserve">Какие задания были выполнены в ходе прохождения практики?</w:t>
      </w:r>
    </w:p>
    <w:p>
      <w:pPr>
        <w:numPr>
          <w:ilvl w:val="0"/>
          <w:numId w:val="15"/>
        </w:numPr>
      </w:pPr>
      <w:r>
        <w:rPr/>
        <w:t xml:space="preserve">Какие документы (проекты документов) были составлены в ходе прохождения практики?</w:t>
      </w:r>
    </w:p>
    <w:p>
      <w:pPr>
        <w:numPr>
          <w:ilvl w:val="0"/>
          <w:numId w:val="15"/>
        </w:numPr>
      </w:pPr>
      <w:r>
        <w:rPr/>
        <w:t xml:space="preserve">Какие материалы для подготовки отчета были собраны в процессе прохождения практики?</w:t>
      </w:r>
    </w:p>
    <w:p>
      <w:pPr>
        <w:numPr>
          <w:ilvl w:val="0"/>
          <w:numId w:val="15"/>
        </w:numPr>
      </w:pPr>
      <w:r>
        <w:rPr/>
        <w:t xml:space="preserve">Какие выводы (суждения, умозаключения) сделаны обучающимся по итогам прохождения производственной практики?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Характеристика</w:t>
      </w:r>
    </w:p>
    <w:p>
      <w:pPr>
        <w:jc w:val="start"/>
      </w:pPr>
      <w:r>
        <w:rPr>
          <w:b w:val="1"/>
          <w:bCs w:val="1"/>
        </w:rPr>
        <w:t xml:space="preserve">Требования к содержанию характеристики:</w:t>
      </w:r>
    </w:p>
    <w:p>
      <w:pPr/>
      <w:r>
        <w:rPr/>
        <w:t xml:space="preserve">Заглавие по центру: Характеристика на обучающегося курса, очной формы обучения, направления подготовки 40.04.01 Юриспруденция, профиль - Уголовное право, уголовный процесс, криминалистика, Института экономики и права ФГБОУ ВО "Петрозаводский государственный университет "  ФИО обучающегося  полностью. Должно быть описание обучающегося как на титульном листе Отчета.</w:t>
      </w:r>
    </w:p>
    <w:p>
      <w:pPr/>
      <w:r>
        <w:rPr/>
        <w:t xml:space="preserve">Должно присутствовать название практики согласно учебному плану – Производственная.</w:t>
      </w:r>
    </w:p>
    <w:p>
      <w:pPr/>
      <w:r>
        <w:rPr/>
        <w:t xml:space="preserve">Должен быть указан хронологический период практики: даты с … по ….</w:t>
      </w:r>
    </w:p>
    <w:p>
      <w:pPr/>
      <w:r>
        <w:rPr/>
        <w:t xml:space="preserve">В тексте Характеристики называется нормативно-правовая база, которую изучили, виды юридической деятельности, которые прошли: посещение судебных заседаний, помощь в подготовке процессуальных документов, выполнение поручений помощника судьи ФИО, т.е. описывается юридическое содержание практики, но в отличие от Отчета кратко, сжато, ёмко.</w:t>
      </w:r>
    </w:p>
    <w:p>
      <w:pPr/>
      <w:r>
        <w:rPr/>
        <w:t xml:space="preserve">"Самовосхваление" недопустимо, о положительных качествах, проявленных в работе, сказать надо сжато: одно-два предложения в одном абзаце (например, "К выполнению порученных заданий относился/ась добросовестно, в работе проявил/а дисциплинированность, внимательность, заинтересованность. В общении вежлив/а, корректен/на").</w:t>
      </w:r>
    </w:p>
    <w:p>
      <w:pPr/>
      <w:r>
        <w:rPr/>
        <w:t xml:space="preserve">В конце текста Характеристики указывается рекомендуемая оценка за прохождение производственной практики.</w:t>
      </w:r>
    </w:p>
    <w:p>
      <w:pPr/>
      <w:r>
        <w:rPr/>
        <w:t xml:space="preserve">Характеристику подписывает руководитель структурного подразделения, в котором обучающийся проходил практику. В следственных органах МВД, СК это начальник подразделения, руководитель следственного отдела. В Прокуратуре это прокурор, в суде - это мировой судья судебного участка, в Петрозаводском городском суде - это руководитель коллегии административного судопроизводства, гражданского судопроизводства, уголовного судопроизводства.</w:t>
      </w:r>
    </w:p>
    <w:p>
      <w:pPr/>
      <w:r>
        <w:rPr/>
        <w:t xml:space="preserve">Характеристики должны быть заверены гербовой (либо простой) печатью учреждения. Она ставится на подпись руководителя.</w:t>
      </w:r>
    </w:p>
    <w:p>
      <w:pPr/>
      <w:r>
        <w:rPr/>
        <w:t xml:space="preserve">Должность: судья Петрозаводского городского суда   печатать слева     потом    место для подписи    потом на листе на этой же строчке справа  расшифровка подписи: ФИО судьи (Кузнецова И.А.). На подписи судьи печать.</w:t>
      </w:r>
    </w:p>
    <w:p>
      <w:pPr/>
      <w:r>
        <w:rPr/>
        <w:t xml:space="preserve">Объём Характеристики - 1-2 стр. формата А4.</w:t>
      </w:r>
    </w:p>
    <w:p>
      <w:pPr>
        <w:jc w:val="numTab"/>
        <w:spacing w:before="280" w:after="280"/>
      </w:pPr>
      <w:r>
        <w:rPr/>
        <w:t xml:space="preserve">13.2. Промежуточная аттестация проводится в виде: производственная практика(зачет).</w:t>
      </w:r>
    </w:p>
    <w:p>
      <w:pPr>
        <w:jc w:val="numTab"/>
        <w:spacing w:before="280" w:after="280"/>
      </w:pPr>
      <w:r>
        <w:rPr/>
        <w:t xml:space="preserve">Оценочные средства для промежуточного контроля.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Зачет</w:t>
      </w:r>
    </w:p>
    <w:p>
      <w:pPr/>
      <w:r>
        <w:rPr/>
        <w:t xml:space="preserve">Результаты производственной практики оцениваются на основании представленных документов: Отчета о прохождении практики, Дневника, Характеристики, а также ответов на вопросы преподавателя в процессе собеседования.</w:t>
      </w:r>
    </w:p>
    <w:p>
      <w:pPr/>
      <w:r>
        <w:rPr/>
        <w:t xml:space="preserve">Отчет, дневник и характеристика должны соответствовать требованиям по структуре, содержанию и оформлению. Выполнение индивидуальных заданий проверяется одновременно двумя способами: 1. по содержанию дневника, отчета и характеристики; 2. в ходе ответов обучающегося на вопросы преподавателя.</w:t>
      </w:r>
    </w:p>
    <w:p>
      <w:pPr/>
      <w:r>
        <w:rPr/>
        <w:t xml:space="preserve">При оценке итогов практики принимается во внимание содержание характеристики, полученной обучающимся по результатам прохождения практики, и рекомендуемая в характеристике оценка за практику.</w:t>
      </w:r>
    </w:p>
    <w:p>
      <w:pPr>
        <w:jc w:val="numTab"/>
        <w:spacing w:before="280" w:after="280"/>
      </w:pPr>
      <w:r>
        <w:rPr/>
        <w:t xml:space="preserve">Подробно средства оценивания для проведения промежуточной аттестации обучающихся по практике приведены в Фонде оценочных средств по данной практике.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14. Учебно-методическое и информационное обеспечение практики</w:t>
      </w:r>
    </w:p>
    <w:p>
      <w:pPr>
        <w:jc w:val="numTab"/>
        <w:spacing w:before="280" w:after="280"/>
      </w:pPr>
      <w:r>
        <w:rPr/>
        <w:t xml:space="preserve">Библиографический список документов</w:t>
      </w:r>
    </w:p>
    <w:p>
      <w:pPr>
        <w:jc w:val="numTab"/>
        <w:spacing w:before="280" w:after="280"/>
      </w:pPr>
      <w:r>
        <w:rPr/>
        <w:t xml:space="preserve">14.1. Основная литература:</w:t>
      </w:r>
    </w:p>
    <w:p>
      <w:pPr>
        <w:numPr>
          <w:ilvl w:val="0"/>
          <w:numId w:val="16"/>
        </w:numPr>
      </w:pPr>
      <w:r>
        <w:rPr/>
        <w:t xml:space="preserve">Уголовное право. Общая часть. В 2 т. Том 1 : учебник для вузов / И. А. Подройкина [и др.] ; ответственные редакторы И. А. Подройкина, Е. В. Серегина, С. И. Улезько. — 5-е изд., перераб. и доп. — Москва : Издательство Юрайт, 2022. — 299 с. — (Высшее образование). — ISBN 978-5-534-12766-9. — Текст : электронный // Образовательная платформа Юрайт [сайт]. — URL: </w:t>
      </w:r>
      <w:hyperlink r:id="rId7" w:history="1">
        <w:r>
          <w:rPr/>
          <w:t xml:space="preserve">https://urait.ru/bcode/470468</w:t>
        </w:r>
      </w:hyperlink>
    </w:p>
    <w:p>
      <w:pPr>
        <w:numPr>
          <w:ilvl w:val="0"/>
          <w:numId w:val="16"/>
        </w:numPr>
      </w:pPr>
      <w:r>
        <w:rPr/>
        <w:t xml:space="preserve">Уголовное право. Общая часть. В 2 т. Том 2 : учебник для вузов / И. А. Подройкина [и др.] ; ответственные редакторы И. А. Подройкина, Е. В. Серегина, С. И. Улезько. — 5-е изд., перераб. и доп. — Москва : Издательство Юрайт, 2022. — 280 с. — (Высшее образование). — ISBN 978-5-534-12767-6. — Текст : электронный // Образовательная платформа Юрайт [сайт]. — URL: </w:t>
      </w:r>
      <w:hyperlink r:id="rId8" w:history="1">
        <w:r>
          <w:rPr/>
          <w:t xml:space="preserve">https://urait.ru/bcode/470469</w:t>
        </w:r>
      </w:hyperlink>
      <w:r>
        <w:rPr/>
        <w:t xml:space="preserve"> </w:t>
      </w:r>
    </w:p>
    <w:p>
      <w:pPr>
        <w:numPr>
          <w:ilvl w:val="0"/>
          <w:numId w:val="16"/>
        </w:numPr>
      </w:pPr>
      <w:r>
        <w:rPr>
          <w:i w:val="1"/>
          <w:iCs w:val="1"/>
        </w:rPr>
        <w:t xml:space="preserve">Францифоров, Ю. В. </w:t>
      </w:r>
      <w:r>
        <w:rPr/>
        <w:t xml:space="preserve"> Уголовный процесс : учебник и практикум для вузов / Ю. В. Францифоров, Н. С. Манова, А. Ю. Францифоров. — 6-е изд., перераб. и доп. — Москва : Издательство Юрайт, 2021. — 403 с. — (Высшее образование). — ISBN 978-5-534-13800-9. — Текст : электронный // Образовательная платформа Юрайт [сайт]. — URL: </w:t>
      </w:r>
      <w:hyperlink r:id="rId9" w:history="1">
        <w:r>
          <w:rPr/>
          <w:t xml:space="preserve">https://urait.ru/bcode/468905</w:t>
        </w:r>
      </w:hyperlink>
      <w:r>
        <w:rPr/>
        <w:t xml:space="preserve"> </w:t>
      </w:r>
    </w:p>
    <w:p>
      <w:pPr>
        <w:numPr>
          <w:ilvl w:val="0"/>
          <w:numId w:val="16"/>
        </w:numPr>
      </w:pPr>
      <w:r>
        <w:rPr/>
        <w:t xml:space="preserve">Правоохранительные органы : учебник и практикум для вузов / М. П. Поляков [и др.] ; под общей редакцией М. П. Полякова. — Москва : Издательство Юрайт, 2022. — 362 с. — (Высшее образование). — ISBN 978-5-9916-7897-1. — Текст : электронный // Образовательная платформа Юрайт [сайт]. — URL: </w:t>
      </w:r>
      <w:hyperlink r:id="rId10" w:history="1">
        <w:r>
          <w:rPr/>
          <w:t xml:space="preserve">https://urait.ru/bcode/488358</w:t>
        </w:r>
      </w:hyperlink>
    </w:p>
    <w:p>
      <w:pPr>
        <w:jc w:val="numTab"/>
        <w:spacing w:before="280" w:after="280"/>
      </w:pPr>
      <w:r>
        <w:rPr/>
        <w:t xml:space="preserve">14.2. Дополнительная литература:</w:t>
      </w:r>
    </w:p>
    <w:p>
      <w:pPr>
        <w:numPr>
          <w:ilvl w:val="0"/>
          <w:numId w:val="17"/>
        </w:numPr>
      </w:pPr>
      <w:r>
        <w:rPr/>
        <w:t xml:space="preserve">Луковников, Г. Д. </w:t>
      </w:r>
      <w:r>
        <w:rPr/>
        <w:t xml:space="preserve"> Следственные действия и оперативно-розыскные мероприятия : учебное пособие для вузов / Г. Д. Луковников. — 2-е изд. — Москва : Издательство Юрайт, 2022. — 290 с. — (Высшее образование). — ISBN 978-5-534-13102-4. — Текст : электронный // Образовательная платформа Юрайт [сайт]. — URL: </w:t>
      </w:r>
      <w:hyperlink r:id="rId11" w:history="1">
        <w:r>
          <w:rPr/>
          <w:t xml:space="preserve">https://urait.ru/bcode/495480</w:t>
        </w:r>
      </w:hyperlink>
      <w:r>
        <w:rPr/>
        <w:t xml:space="preserve"> </w:t>
      </w:r>
    </w:p>
    <w:p>
      <w:pPr>
        <w:numPr>
          <w:ilvl w:val="0"/>
          <w:numId w:val="17"/>
        </w:numPr>
      </w:pPr>
      <w:r>
        <w:rPr/>
        <w:t xml:space="preserve">Следственные действия: Криминалистические рекомендации. Типовые образцы документов / Под ред. В.А. Образцова; Сост. П.Т. Скорченко. - Москва: Юристъ, 1999. - 499 с.  32 экз.</w:t>
      </w:r>
    </w:p>
    <w:p>
      <w:pPr>
        <w:numPr>
          <w:ilvl w:val="0"/>
          <w:numId w:val="17"/>
        </w:numPr>
      </w:pPr>
      <w:r>
        <w:rPr/>
        <w:t xml:space="preserve">Уголовно-процессуальное право Российской Федерации в 2 ч. Часть 1 : учебник для вузов / Г. М. Резник [и др.] ; под общей редакцией Г. М. Резника. — 3-е изд., перераб. и доп. — Москва : Издательство Юрайт, 2021. — 457 с. — (Высшее образование). — ISBN 978-5-534-12202-2. — Текст : электронный // Образовательная платформа Юрайт [сайт]. — URL: </w:t>
      </w:r>
      <w:hyperlink r:id="rId12" w:history="1">
        <w:r>
          <w:rPr/>
          <w:t xml:space="preserve">https://urait.ru/bcode/470369</w:t>
        </w:r>
      </w:hyperlink>
      <w:r>
        <w:rPr/>
        <w:t xml:space="preserve"> </w:t>
      </w:r>
    </w:p>
    <w:p>
      <w:pPr>
        <w:numPr>
          <w:ilvl w:val="0"/>
          <w:numId w:val="17"/>
        </w:numPr>
      </w:pPr>
      <w:r>
        <w:rPr/>
        <w:t xml:space="preserve">Уголовно-процессуальное право Российской Федерации в 2 ч. Часть 2 : учебник для вузов / Г. М. Резник [и др.] ; ответственный редактор Г. М. Резник. — 3-е изд., перераб. и доп. — Москва : Издательство Юрайт, 2021. — 519 с. — (Высшее образование). — ISBN 978-5-534-12205-3. — Текст : электронный // Образовательная платформа Юрайт [сайт]. — URL: </w:t>
      </w:r>
      <w:hyperlink r:id="rId13" w:history="1">
        <w:r>
          <w:rPr/>
          <w:t xml:space="preserve">https://urait.ru/bcode/470370</w:t>
        </w:r>
      </w:hyperlink>
      <w:r>
        <w:rPr/>
        <w:t xml:space="preserve"> </w:t>
      </w:r>
    </w:p>
    <w:p>
      <w:pPr>
        <w:jc w:val="numTab"/>
        <w:spacing w:before="280" w:after="280"/>
      </w:pPr>
      <w:r>
        <w:rPr/>
        <w:t xml:space="preserve">14.3. Программное обеспечение и Интернет-ресурсы:</w:t>
      </w:r>
    </w:p>
    <w:p>
      <w:pPr/>
      <w:r>
        <w:rPr/>
        <w:t xml:space="preserve">Студенты и преподаватели ПетрГУ имеют доступ к ряду электронных библиотечных систем, к которым подключена Научная библиотека университета. Для электронных ресурсов используется лицензионное программное обеспечение.</w:t>
      </w:r>
    </w:p>
    <w:p>
      <w:pPr/>
      <w:r>
        <w:rPr/>
        <w:t xml:space="preserve">Для поиска учебной и научной литературы студенты используют Электронный  каталог  Научной библиотеки ПетрГУ </w:t>
      </w:r>
      <w:hyperlink r:id="rId14" w:history="1">
        <w:r>
          <w:rPr/>
          <w:t xml:space="preserve">http://foliant.ru/catalog/psulibr</w:t>
        </w:r>
      </w:hyperlink>
      <w:r>
        <w:rPr/>
        <w:t xml:space="preserve">, и следующие ЭБС:</w:t>
      </w:r>
    </w:p>
    <w:p>
      <w:pPr>
        <w:numPr>
          <w:ilvl w:val="0"/>
          <w:numId w:val="18"/>
        </w:numPr>
      </w:pPr>
      <w:r>
        <w:rPr/>
        <w:t xml:space="preserve">Электронной библиотеки Республики Карелия </w:t>
      </w:r>
      <w:hyperlink r:id="rId15" w:history="1">
        <w:r>
          <w:rPr/>
          <w:t xml:space="preserve">http://elibrary.karelia.ru/</w:t>
        </w:r>
      </w:hyperlink>
    </w:p>
    <w:p>
      <w:pPr>
        <w:numPr>
          <w:ilvl w:val="0"/>
          <w:numId w:val="18"/>
        </w:numPr>
      </w:pPr>
      <w:r>
        <w:rPr/>
        <w:t xml:space="preserve">Образовательная платформа "Юрайт" </w:t>
      </w:r>
      <w:hyperlink r:id="rId16" w:history="1">
        <w:r>
          <w:rPr/>
          <w:t xml:space="preserve">https://urait.ru/</w:t>
        </w:r>
      </w:hyperlink>
      <w:r>
        <w:rPr/>
        <w:t xml:space="preserve"> </w:t>
      </w:r>
    </w:p>
    <w:p>
      <w:pPr>
        <w:numPr>
          <w:ilvl w:val="0"/>
          <w:numId w:val="18"/>
        </w:numPr>
      </w:pPr>
      <w:r>
        <w:rPr/>
        <w:t xml:space="preserve">Электронная библиотечная система «Консультант студента. Студенческая электронная библиотека» </w:t>
      </w:r>
      <w:hyperlink r:id="rId17" w:history="1">
        <w:r>
          <w:rPr/>
          <w:t xml:space="preserve">http://www.studentlibrary.ru</w:t>
        </w:r>
      </w:hyperlink>
    </w:p>
    <w:p>
      <w:pPr>
        <w:numPr>
          <w:ilvl w:val="0"/>
          <w:numId w:val="18"/>
        </w:numPr>
      </w:pPr>
      <w:r>
        <w:rPr/>
        <w:t xml:space="preserve">Другие базы данных, размещенные на сайте Научной библиотеки ПетрГУ в разделе «Электронные журналы и базы данных» (кроме ресурсов тестового доступа) </w:t>
      </w:r>
      <w:hyperlink r:id="rId18" w:history="1">
        <w:r>
          <w:rPr/>
          <w:t xml:space="preserve">http://library.petrsu.ru/collections/bd.shtml   </w:t>
        </w:r>
      </w:hyperlink>
    </w:p>
    <w:p>
      <w:pPr>
        <w:numPr>
          <w:ilvl w:val="0"/>
          <w:numId w:val="19"/>
        </w:numPr>
      </w:pPr>
    </w:p>
    <w:p>
      <w:pPr>
        <w:numPr>
          <w:ilvl w:val="1"/>
          <w:numId w:val="19"/>
        </w:numPr>
      </w:pPr>
    </w:p>
    <w:p>
      <w:pPr>
        <w:numPr>
          <w:ilvl w:val="2"/>
          <w:numId w:val="19"/>
        </w:numPr>
      </w:pPr>
    </w:p>
    <w:p>
      <w:pPr>
        <w:numPr>
          <w:ilvl w:val="3"/>
          <w:numId w:val="19"/>
        </w:numPr>
      </w:pPr>
    </w:p>
    <w:p>
      <w:pPr>
        <w:numPr>
          <w:ilvl w:val="4"/>
          <w:numId w:val="19"/>
        </w:numPr>
      </w:pPr>
    </w:p>
    <w:p>
      <w:pPr>
        <w:numPr>
          <w:ilvl w:val="5"/>
          <w:numId w:val="19"/>
        </w:numPr>
      </w:pPr>
    </w:p>
    <w:p>
      <w:pPr>
        <w:numPr>
          <w:ilvl w:val="6"/>
          <w:numId w:val="19"/>
        </w:numPr>
      </w:pPr>
    </w:p>
    <w:p>
      <w:pPr>
        <w:numPr>
          <w:ilvl w:val="7"/>
          <w:numId w:val="19"/>
        </w:numPr>
      </w:pPr>
    </w:p>
    <w:p>
      <w:pPr>
        <w:numPr>
          <w:ilvl w:val="8"/>
          <w:numId w:val="19"/>
        </w:numPr>
      </w:pPr>
    </w:p>
    <w:p>
      <w:pPr>
        <w:numPr>
          <w:ilvl w:val="9"/>
          <w:numId w:val="19"/>
        </w:numPr>
      </w:pPr>
    </w:p>
    <w:p>
      <w:pPr>
        <w:numPr>
          <w:ilvl w:val="10"/>
          <w:numId w:val="19"/>
        </w:numPr>
      </w:pPr>
    </w:p>
    <w:p>
      <w:pPr>
        <w:numPr>
          <w:ilvl w:val="11"/>
          <w:numId w:val="19"/>
        </w:numPr>
      </w:pPr>
    </w:p>
    <w:p>
      <w:pPr>
        <w:numPr>
          <w:ilvl w:val="12"/>
          <w:numId w:val="19"/>
        </w:numPr>
      </w:pPr>
    </w:p>
    <w:p>
      <w:pPr>
        <w:numPr>
          <w:ilvl w:val="13"/>
          <w:numId w:val="19"/>
        </w:numPr>
      </w:pPr>
    </w:p>
    <w:p>
      <w:pPr>
        <w:numPr>
          <w:ilvl w:val="14"/>
          <w:numId w:val="19"/>
        </w:numPr>
      </w:pPr>
    </w:p>
    <w:p>
      <w:pPr>
        <w:numPr>
          <w:ilvl w:val="15"/>
          <w:numId w:val="19"/>
        </w:numPr>
      </w:pPr>
    </w:p>
    <w:p>
      <w:pPr>
        <w:numPr>
          <w:ilvl w:val="16"/>
          <w:numId w:val="19"/>
        </w:numPr>
      </w:pPr>
    </w:p>
    <w:p>
      <w:pPr>
        <w:numPr>
          <w:ilvl w:val="17"/>
          <w:numId w:val="19"/>
        </w:numPr>
      </w:pPr>
      <w:r>
        <w:rPr/>
        <w:t xml:space="preserve"> </w:t>
      </w:r>
    </w:p>
    <w:p>
      <w:pPr>
        <w:jc w:val="numTab"/>
        <w:spacing w:before="280" w:after="280"/>
      </w:pPr>
      <w:r>
        <w:rPr/>
        <w:t xml:space="preserve">14.4. Информационное обеспечение дисциплины в системе электронного (дистанционного) обучения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15. Материально-техническое обеспечение практики</w:t>
      </w:r>
    </w:p>
    <w:p>
      <w:pPr>
        <w:jc w:val="numTab"/>
        <w:spacing w:before="280" w:after="280"/>
      </w:pPr>
      <w:r>
        <w:rPr/>
        <w:t xml:space="preserve">Дата «_____» _________2026 г.</w:t>
      </w:r>
    </w:p>
    <w:sectPr>
      <w:footerReference w:type="default" r:id="rId1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fldChar w:fldCharType="begin"/>
    </w:r>
    <w:r>
      <w:rPr>
        <w:sz w:val="24"/>
        <w:szCs w:val="24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40452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5FEAF5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566EB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5691A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F8E48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83D5B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4CC4D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16CF6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BC155EEC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1B887C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BC47D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A7FEE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19CD90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CFAE6E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7ED725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8AC22D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4EF7AA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9D6BCF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1C172F88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proofState w:spelling="clean" w:grammar="clean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70468" TargetMode="External"/><Relationship Id="rId8" Type="http://schemas.openxmlformats.org/officeDocument/2006/relationships/hyperlink" Target="https://urait.ru/bcode/470469" TargetMode="External"/><Relationship Id="rId9" Type="http://schemas.openxmlformats.org/officeDocument/2006/relationships/hyperlink" Target="https://urait.ru/bcode/468905" TargetMode="External"/><Relationship Id="rId10" Type="http://schemas.openxmlformats.org/officeDocument/2006/relationships/hyperlink" Target="https://urait.ru/bcode/488358" TargetMode="External"/><Relationship Id="rId11" Type="http://schemas.openxmlformats.org/officeDocument/2006/relationships/hyperlink" Target="https://urait.ru/bcode/495480" TargetMode="External"/><Relationship Id="rId12" Type="http://schemas.openxmlformats.org/officeDocument/2006/relationships/hyperlink" Target="https://urait.ru/bcode/470369" TargetMode="External"/><Relationship Id="rId13" Type="http://schemas.openxmlformats.org/officeDocument/2006/relationships/hyperlink" Target="https://urait.ru/bcode/470370" TargetMode="External"/><Relationship Id="rId14" Type="http://schemas.openxmlformats.org/officeDocument/2006/relationships/hyperlink" Target="http://foliant.ru/catalog/psulibr" TargetMode="External"/><Relationship Id="rId15" Type="http://schemas.openxmlformats.org/officeDocument/2006/relationships/hyperlink" Target="http://elibrary.karelia.ru/" TargetMode="External"/><Relationship Id="rId16" Type="http://schemas.openxmlformats.org/officeDocument/2006/relationships/hyperlink" Target="https://urait.ru/" TargetMode="External"/><Relationship Id="rId17" Type="http://schemas.openxmlformats.org/officeDocument/2006/relationships/hyperlink" Target="http://www.studentlibrary.ru" TargetMode="External"/><Relationship Id="rId18" Type="http://schemas.openxmlformats.org/officeDocument/2006/relationships/hyperlink" Target="http://library.petrsu.ru/collections/bd.shtml" TargetMode="External"/><Relationship Id="rId19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2026-04-21T05:40:01+03:00</dcterms:created>
  <dcterms:modified xsi:type="dcterms:W3CDTF">2026-04-21T05:40:01+03:00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