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трудовая деятельность.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и спортивная подготовка в системе физического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общекультурной и профессиональной подготовке студента.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Социально-биологические основы физической культуры. Основы здорового образа жизни студента. Физическая культура в обеспечении здоровья. Образ жизни и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Прикладное значение физической культуры и спорта. Психофизиологические основы учебного труда и интеллектуальной деятельности. Средства физической культуры в регулировании работоспособности.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методики самостоятельных занятий физическими упражнениями. Индивидуальный выбор видов спорта или систем физических упражнений. Олимпийские игры и Универсиады. Современные популярные системы физических упражнений. Особенности занятий избранным видом спорта или системой физических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Социально-биологические основы физической культуры. Основы здорового образа жизни студента. Физическая культура в обеспечении здоровья. Образ жизни и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 занятия, методы круговой, интервальной, повторной тренировок, контрольные занятия), так и инновационные формы проведения занятий (кроссфит, табата, современные фитнесс-технологии, технологии самостоятельной работы с использованием программ мобильных приложений (Strava, Zwift, др.).</w:t>
      </w:r>
    </w:p>
    <w:p>
      <w:pPr/>
      <w:r>
        <w:rPr/>
        <w:t xml:space="preserve">Используются материалы видеозаписей по технике выполнения отдельных упражнений.</w:t>
      </w:r>
    </w:p>
    <w:p>
      <w:pPr/>
      <w:r>
        <w:rPr/>
        <w:t xml:space="preserve">В процессе практических занятий используются технологии индивидуальной работы  со студентами, имеющими недостаточный уровень физической и функциональной подготовленности; противопоказания к выполнению определенных двигательный действий (по состоянию здоровья), существенные нарушения в технике выполнения элементов. Широко применяется демонстрация изучаемых двигательных действий лучшими студентами.</w:t>
      </w:r>
    </w:p>
    <w:p>
      <w:pPr/>
      <w:r>
        <w:rPr/>
        <w:t xml:space="preserve">Изучение теоретического материала дисциплины осуществляется с использованием дистанционных образовательных технологий (обучающие презентации, тесты), Internet-ресурсов, информационных баз, методических разработок, специальной учебной и научной литературы.</w:t>
      </w:r>
    </w:p>
    <w:p>
      <w:pPr/>
      <w:r>
        <w:rPr/>
        <w:t xml:space="preserve">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Оценочное средство 1: Контрольная работа</w:t>
      </w:r>
    </w:p>
    <w:p>
      <w:pPr/>
      <w:r>
        <w:rPr/>
        <w:t xml:space="preserve"> </w:t>
      </w:r>
    </w:p>
    <w:tbl>
      <w:tblGrid>
        <w:gridCol w:w="885" w:type="dxa"/>
        <w:gridCol w:w="10815" w:type="dxa"/>
      </w:tblGrid>
      <w:tblPr>
        <w:tblW w:w="11700" w:type="dxa"/>
        <w:tblLayout w:type="autofit"/>
      </w:tblPr>
      <w:tr>
        <w:trPr/>
        <w:tc>
          <w:tcPr>
            <w:tcW w:w="88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10815" w:type="dxa"/>
            <w:noWrap/>
          </w:tcPr>
          <w:p>
            <w:pPr/>
            <w:r>
              <w:rPr/>
              <w:t xml:space="preserve">Наименование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10815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№1 (Теоретический курс дисциплины «Физическая культура в здоровьесберегающем пространстве» Режим доступа: сервер Moodle </w:t>
            </w:r>
            <w:r>
              <w:rPr>
                <w:b w:val="1"/>
                <w:bCs w:val="1"/>
              </w:rPr>
              <w:t xml:space="preserve">https://moodle2.petrsu.ru/mod/assign/view.php?id=22776</w:t>
            </w:r>
            <w:r>
              <w:rPr/>
              <w:t xml:space="preserve">)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10815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№2</w:t>
            </w:r>
          </w:p>
          <w:p>
            <w:pPr/>
            <w:r>
              <w:rPr/>
              <w:t xml:space="preserve">(Теоретический курс дисциплины «Физическая культура в здоровьесберегающем пространстве» Режим доступа: сервер Moodle </w:t>
            </w:r>
            <w:r>
              <w:rPr>
                <w:b w:val="1"/>
                <w:bCs w:val="1"/>
              </w:rPr>
              <w:t xml:space="preserve">https://moodle2.petrsu.ru/mod/assign/view.php?id=22776</w:t>
            </w:r>
            <w:r>
              <w:rPr/>
              <w:t xml:space="preserve">)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Примеры контрольных работ к разделу 1:</w:t>
      </w:r>
    </w:p>
    <w:p>
      <w:pPr/>
      <w:r>
        <w:rPr>
          <w:b w:val="1"/>
          <w:bCs w:val="1"/>
        </w:rPr>
        <w:t xml:space="preserve">Вариант 1. </w:t>
      </w:r>
    </w:p>
    <w:p>
      <w:pPr>
        <w:numPr>
          <w:ilvl w:val="0"/>
          <w:numId w:val="1"/>
        </w:numPr>
      </w:pPr>
      <w:r>
        <w:rPr/>
        <w:t xml:space="preserve">Дайте определение понятия физическая культура своими словами.</w:t>
      </w:r>
    </w:p>
    <w:p>
      <w:pPr>
        <w:numPr>
          <w:ilvl w:val="0"/>
          <w:numId w:val="2"/>
        </w:numPr>
      </w:pPr>
      <w:r>
        <w:rPr/>
        <w:t xml:space="preserve">Определите различие между двигательными умениями и двигательными навыками.</w:t>
      </w:r>
      <w:br/>
      <w:r>
        <w:rPr/>
        <w:t xml:space="preserve">3. Какими показателями определяется функциональная подготовленность?</w:t>
      </w:r>
      <w:br/>
      <w:r>
        <w:rPr/>
        <w:t xml:space="preserve">4.  Определите основные направления физической культуры в вузе.</w:t>
      </w:r>
      <w:br/>
      <w:r>
        <w:rPr/>
        <w:t xml:space="preserve">5.  Кратко опишите функции дыхательной системы.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Вариант 2.</w:t>
      </w:r>
    </w:p>
    <w:p>
      <w:pPr>
        <w:numPr>
          <w:ilvl w:val="0"/>
          <w:numId w:val="3"/>
        </w:numPr>
      </w:pPr>
      <w:r>
        <w:rPr/>
        <w:t xml:space="preserve">Назовите все известные вам средства физической культуры</w:t>
      </w:r>
    </w:p>
    <w:p>
      <w:pPr>
        <w:numPr>
          <w:ilvl w:val="0"/>
          <w:numId w:val="3"/>
        </w:numPr>
      </w:pPr>
      <w:r>
        <w:rPr/>
        <w:t xml:space="preserve">Проанализируйте природные факторы карельского региона, негативно отражающиеся на здоровье населения.</w:t>
      </w:r>
    </w:p>
    <w:p>
      <w:pPr>
        <w:numPr>
          <w:ilvl w:val="0"/>
          <w:numId w:val="3"/>
        </w:numPr>
      </w:pPr>
      <w:r>
        <w:rPr/>
        <w:t xml:space="preserve">Кратко опишите основные функции костно-мышечной системы.</w:t>
      </w:r>
    </w:p>
    <w:p>
      <w:pPr>
        <w:numPr>
          <w:ilvl w:val="0"/>
          <w:numId w:val="3"/>
        </w:numPr>
      </w:pPr>
      <w:r>
        <w:rPr/>
        <w:t xml:space="preserve">Кратко опишите строение сердечнососудистой системы.</w:t>
      </w:r>
      <w:br/>
      <w:br/>
    </w:p>
    <w:p>
      <w:pPr/>
      <w:r>
        <w:rPr>
          <w:b w:val="1"/>
          <w:bCs w:val="1"/>
        </w:rPr>
        <w:t xml:space="preserve">Вариант 3.</w:t>
      </w:r>
    </w:p>
    <w:p>
      <w:pPr>
        <w:numPr>
          <w:ilvl w:val="0"/>
          <w:numId w:val="4"/>
        </w:numPr>
      </w:pPr>
      <w:r>
        <w:rPr/>
        <w:t xml:space="preserve">Перечислите компоненты физической культуры и определите их характерные особенности.</w:t>
      </w:r>
    </w:p>
    <w:p>
      <w:pPr>
        <w:numPr>
          <w:ilvl w:val="0"/>
          <w:numId w:val="4"/>
        </w:numPr>
      </w:pPr>
      <w:r>
        <w:rPr/>
        <w:t xml:space="preserve">Опишите влияние физической деятельности на снижение утомляемости и восстановление работоспособности;</w:t>
      </w:r>
    </w:p>
    <w:p>
      <w:pPr>
        <w:numPr>
          <w:ilvl w:val="0"/>
          <w:numId w:val="4"/>
        </w:numPr>
      </w:pPr>
      <w:r>
        <w:rPr/>
        <w:t xml:space="preserve">Кратко опишите функции пищеварительной системы.</w:t>
      </w:r>
      <w:br/>
      <w:r>
        <w:rPr/>
        <w:t xml:space="preserve">Кратко опишите функции нервной системы.</w:t>
      </w:r>
      <w:br/>
      <w:br/>
      <w:br/>
    </w:p>
    <w:p>
      <w:pPr/>
      <w:r>
        <w:rPr>
          <w:b w:val="1"/>
          <w:bCs w:val="1"/>
        </w:rPr>
        <w:t xml:space="preserve">Примеры контрольных работ к разделу 2:</w:t>
      </w:r>
    </w:p>
    <w:p>
      <w:pPr/>
      <w:r>
        <w:rPr>
          <w:b w:val="1"/>
          <w:bCs w:val="1"/>
        </w:rPr>
        <w:t xml:space="preserve">Вариант 1.</w:t>
      </w:r>
    </w:p>
    <w:p>
      <w:pPr>
        <w:numPr>
          <w:ilvl w:val="0"/>
          <w:numId w:val="5"/>
        </w:numPr>
      </w:pPr>
      <w:r>
        <w:rPr/>
        <w:t xml:space="preserve">Напишите 4-5 определений понятия «Здоровье».</w:t>
      </w:r>
    </w:p>
    <w:p>
      <w:pPr>
        <w:numPr>
          <w:ilvl w:val="0"/>
          <w:numId w:val="5"/>
        </w:numPr>
      </w:pPr>
      <w:r>
        <w:rPr/>
        <w:t xml:space="preserve">Опишите критерии определения здоровья</w:t>
      </w:r>
    </w:p>
    <w:p>
      <w:pPr>
        <w:numPr>
          <w:ilvl w:val="0"/>
          <w:numId w:val="5"/>
        </w:numPr>
      </w:pPr>
      <w:r>
        <w:rPr/>
        <w:t xml:space="preserve">Опишите компоненты (составляющие) здорового образа жизни</w:t>
      </w:r>
    </w:p>
    <w:p>
      <w:pPr>
        <w:numPr>
          <w:ilvl w:val="0"/>
          <w:numId w:val="5"/>
        </w:numPr>
      </w:pPr>
      <w:r>
        <w:rPr/>
        <w:t xml:space="preserve">Составьте примерное меню на 1 день согласно принципам здорового питания.</w:t>
      </w:r>
    </w:p>
    <w:p>
      <w:pPr>
        <w:numPr>
          <w:ilvl w:val="0"/>
          <w:numId w:val="5"/>
        </w:numPr>
      </w:pPr>
      <w:r>
        <w:rPr/>
        <w:t xml:space="preserve">Подробно опишите влияние табакокурения на организм.</w:t>
      </w:r>
    </w:p>
    <w:p>
      <w:pPr>
        <w:numPr>
          <w:ilvl w:val="0"/>
          <w:numId w:val="5"/>
        </w:numPr>
      </w:pPr>
      <w:r>
        <w:rPr/>
        <w:t xml:space="preserve">Опишите последствия регулярного употребления алкоголя (физиологические и социальные).</w:t>
      </w:r>
    </w:p>
    <w:p>
      <w:pPr/>
      <w:r>
        <w:rPr>
          <w:b w:val="1"/>
          <w:bCs w:val="1"/>
        </w:rPr>
        <w:t xml:space="preserve">Вариант 2.</w:t>
      </w:r>
    </w:p>
    <w:p>
      <w:pPr>
        <w:numPr>
          <w:ilvl w:val="0"/>
          <w:numId w:val="6"/>
        </w:numPr>
      </w:pPr>
      <w:r>
        <w:rPr/>
        <w:t xml:space="preserve">Какими факторами определяется работоспособность?</w:t>
      </w:r>
      <w:br/>
      <w:r>
        <w:rPr/>
        <w:t xml:space="preserve">2. Дайте определение понятиям «утомление», «переутомление», «хроническое утомление».</w:t>
      </w:r>
      <w:br/>
      <w:r>
        <w:rPr/>
        <w:t xml:space="preserve">3. Проанализируйте свой учебный день. Определите в какое время Вы чувствуете повышенную работоспособность, а в какой период утомление. Проявляется ли данное состояние несколько раз в день?</w:t>
      </w:r>
      <w:br/>
      <w:r>
        <w:rPr/>
        <w:t xml:space="preserve">4. Какие Вы используете приемы для восстановления работоспособности?</w:t>
      </w:r>
    </w:p>
    <w:p>
      <w:pPr>
        <w:numPr>
          <w:ilvl w:val="0"/>
          <w:numId w:val="6"/>
        </w:numPr>
      </w:pPr>
      <w:r>
        <w:rPr/>
        <w:t xml:space="preserve">Опишите любую методику аутогенной тренировки.</w:t>
      </w:r>
    </w:p>
    <w:p/>
    <w:p>
      <w:pPr/>
      <w:r>
        <w:rPr/>
        <w:t xml:space="preserve">Реферат</w:t>
      </w:r>
    </w:p>
    <w:p>
      <w:pPr/>
      <w:r>
        <w:rPr/>
        <w:t xml:space="preserve"> </w:t>
      </w:r>
    </w:p>
    <w:p>
      <w:pPr/>
      <w:r>
        <w:rPr/>
        <w:t xml:space="preserve"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>
      <w:pPr/>
      <w:r>
        <w:rPr/>
        <w:t xml:space="preserve">Критерии оценивания реферативной работы:</w:t>
      </w:r>
    </w:p>
    <w:p>
      <w:pPr/>
      <w:r>
        <w:rPr/>
        <w:t xml:space="preserve"> </w:t>
      </w:r>
    </w:p>
    <w:p>
      <w:pPr/>
      <w:r>
        <w:rPr/>
        <w:t xml:space="preserve">Реферативная работа должна отвечать высоким квалификационным требованиям в отношении научности содержания и оформления. Объем реферата должен быть не менее 10-12 машинописных листов и содержать титульный лист, оглавление, текст, написанный по главам, выводы и список использованной литературы. Текст должен быть напечатан  14 шрифтом через 1,5 интервала на одой стороне стандартного листа А4 с соблюдением размеров полей: верхнее – 20 мм, правое – 10, левое и нижнее – не менее 20мм. Номера страниц указываются на середине верхней части листа без точек. Каждая страница нумеруется. Первой страницей считается титульный лист, второй - оглавление, (нумерация на них не ставится). Номера страниц указываются, начиная с третьего листа. Заголовки даются по центру. Текст реферата должен делиться на абзацы, и каждый абзац должен начинаться с красной строки. Связь списка литературы с текстом осуществляется с помощью ссылок. Например, если автор ссылается на работу, представленную в списке литературы под номером 7, то эта цифра, заключенная в скобки, ставится и в тексте реферата.</w:t>
      </w:r>
    </w:p>
    <w:p>
      <w:pPr/>
      <w:r>
        <w:rPr/>
        <w:t xml:space="preserve">   Оценка </w:t>
      </w:r>
      <w:r>
        <w:rPr>
          <w:b w:val="1"/>
          <w:bCs w:val="1"/>
        </w:rPr>
        <w:t xml:space="preserve">«отлично»</w:t>
      </w:r>
      <w:r>
        <w:rPr/>
        <w:t xml:space="preserve"> выставляется, если 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современные литературные источники, примеры из практики, мнения известных учёных в данной области. Студент в работе выдвигает новые идеи и трактовки, демонстрирует способность анализировать материал.</w:t>
      </w:r>
    </w:p>
    <w:p>
      <w:pPr/>
      <w:r>
        <w:rPr/>
        <w:t xml:space="preserve">   Оценка </w:t>
      </w:r>
      <w:r>
        <w:rPr>
          <w:b w:val="1"/>
          <w:bCs w:val="1"/>
        </w:rPr>
        <w:t xml:space="preserve">«хорошо»</w:t>
      </w:r>
      <w:r>
        <w:rPr/>
        <w:t xml:space="preserve"> выставляется, если 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современные литературные источники, примеры из практики, мнения известных учёных в данной области.</w:t>
      </w:r>
    </w:p>
    <w:p>
      <w:pPr/>
      <w:r>
        <w:rPr/>
        <w:t xml:space="preserve">   Оценка </w:t>
      </w:r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/>
      <w:r>
        <w:rPr/>
        <w:t xml:space="preserve">   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выставляется, если студент не выполнил задание, или выполнил его формально, ответил на заданный вопрос, при этом не ссылался на мнения учёных, не проявил способность к анализу, то есть в целом цель реферата не достигнута.</w:t>
      </w:r>
    </w:p>
    <w:p>
      <w:pPr/>
      <w:r>
        <w:rPr/>
        <w:t xml:space="preserve">   </w:t>
      </w:r>
    </w:p>
    <w:p>
      <w:pPr/>
      <w:r>
        <w:rPr/>
        <w:t xml:space="preserve"> </w:t>
      </w:r>
    </w:p>
    <w:p>
      <w:pPr/>
      <w:r>
        <w:rPr/>
        <w:t xml:space="preserve">   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изучение дисциплины «Физическая культура и спорт» отводится 72 часа, из них 2 часа аудиторной (практической) и 70 часов для самостоятельной работы студентов.</w:t>
      </w:r>
    </w:p>
    <w:p>
      <w:pPr/>
      <w:r>
        <w:rPr/>
        <w:t xml:space="preserve">Для эффективного усвоения материала курса студент обязан: посещать все практические занятия; регулярно прорабатывать (как в рамках учебного процесса, так и самостоятельно) рекомендованную литературу по каждой теме; принимать участие во всех формах  текущего контроля.</w:t>
      </w:r>
    </w:p>
    <w:p>
      <w:pPr/>
      <w:r>
        <w:rPr/>
        <w:t xml:space="preserve">Студент первого курса, отнесённый по состоянию здоровья к подготовительной и специальной медицинской группам, обязан предоставить справку.  На основании данных о состоянии здоровья для проведения практических занятий студенты распределяются на 3 группы:</w:t>
      </w:r>
    </w:p>
    <w:p>
      <w:pPr/>
      <w:r>
        <w:rPr/>
        <w:t xml:space="preserve"> </w:t>
      </w:r>
    </w:p>
    <w:tbl>
      <w:tblGrid>
        <w:gridCol w:w="2310" w:type="dxa"/>
        <w:gridCol w:w="4680" w:type="dxa"/>
        <w:gridCol w:w="4860" w:type="dxa"/>
      </w:tblGrid>
      <w:tblPr>
        <w:tblW w:w="11835" w:type="dxa"/>
        <w:tblLayout w:type="autofit"/>
      </w:tblPr>
      <w:tr>
        <w:trPr/>
        <w:tc>
          <w:tcPr>
            <w:tcW w:w="2310" w:type="dxa"/>
            <w:noWrap/>
          </w:tcPr>
          <w:p>
            <w:pPr/>
            <w:r>
              <w:rPr/>
              <w:t xml:space="preserve">Наименование группы</w:t>
            </w:r>
          </w:p>
        </w:tc>
        <w:tc>
          <w:tcPr>
            <w:tcW w:w="4680" w:type="dxa"/>
            <w:noWrap/>
          </w:tcPr>
          <w:p>
            <w:pPr/>
            <w:r>
              <w:rPr/>
              <w:t xml:space="preserve">Медицинская характеристика группы</w:t>
            </w:r>
          </w:p>
        </w:tc>
        <w:tc>
          <w:tcPr>
            <w:tcW w:w="4860" w:type="dxa"/>
            <w:noWrap/>
          </w:tcPr>
          <w:p>
            <w:pPr/>
            <w:r>
              <w:rPr/>
              <w:t xml:space="preserve">Допускаемая  физическая нагрузка</w:t>
            </w:r>
          </w:p>
        </w:tc>
      </w:tr>
      <w:tr>
        <w:trPr/>
        <w:tc>
          <w:tcPr>
            <w:tcW w:w="23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Основная</w:t>
            </w:r>
          </w:p>
        </w:tc>
        <w:tc>
          <w:tcPr>
            <w:tcW w:w="468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</w:t>
            </w:r>
          </w:p>
          <w:p>
            <w:pPr/>
            <w:r>
              <w:rPr/>
              <w:t xml:space="preserve">при достаточном физическом развитии и физической подготовленности.</w:t>
            </w:r>
          </w:p>
        </w:tc>
        <w:tc>
          <w:tcPr>
            <w:tcW w:w="4860" w:type="dxa"/>
            <w:noWrap/>
          </w:tcPr>
          <w:p>
            <w:pPr/>
            <w:r>
              <w:rPr/>
              <w:t xml:space="preserve">Посещение практических занятий в полном объеме, занятия в спортивных секциях, участие в соревнованиях.</w:t>
            </w:r>
          </w:p>
        </w:tc>
      </w:tr>
      <w:tr>
        <w:trPr/>
        <w:tc>
          <w:tcPr>
            <w:tcW w:w="2310" w:type="dxa"/>
            <w:noWrap/>
          </w:tcPr>
          <w:p>
            <w:pPr/>
            <w:r>
              <w:rPr/>
              <w:t xml:space="preserve">Подготовительная</w:t>
            </w:r>
          </w:p>
        </w:tc>
        <w:tc>
          <w:tcPr>
            <w:tcW w:w="468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 с недостаточным физическим развитием и недостаточной физической подготовленностью.</w:t>
            </w:r>
          </w:p>
        </w:tc>
        <w:tc>
          <w:tcPr>
            <w:tcW w:w="4860" w:type="dxa"/>
            <w:noWrap/>
          </w:tcPr>
          <w:p>
            <w:pPr/>
            <w:r>
              <w:rPr/>
              <w:t xml:space="preserve">Посещение практических занятий при условии постепенного освоения комплекса двигательных навыков и умений, особенно связанных с предъявлением к организму повышенных требований.</w:t>
            </w:r>
          </w:p>
        </w:tc>
      </w:tr>
      <w:tr>
        <w:trPr/>
        <w:tc>
          <w:tcPr>
            <w:tcW w:w="2310" w:type="dxa"/>
            <w:noWrap/>
          </w:tcPr>
          <w:p>
            <w:pPr/>
            <w:r>
              <w:rPr/>
              <w:t xml:space="preserve">Специальная медицинская</w:t>
            </w:r>
          </w:p>
        </w:tc>
        <w:tc>
          <w:tcPr>
            <w:tcW w:w="4680" w:type="dxa"/>
            <w:noWrap/>
          </w:tcPr>
          <w:p>
            <w:pPr/>
            <w:r>
              <w:rPr/>
              <w:t xml:space="preserve">Лица, имеющие отклонения в состоянии здоровья постоянного и временного характера, требующие ограничения физических нагрузок.</w:t>
            </w:r>
          </w:p>
        </w:tc>
        <w:tc>
          <w:tcPr>
            <w:tcW w:w="4860" w:type="dxa"/>
            <w:noWrap/>
          </w:tcPr>
          <w:p>
            <w:pPr/>
            <w:r>
              <w:rPr/>
              <w:t xml:space="preserve">Занятия по специальным учебным программам.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Студенты, освобожденные от практических занятий по дисциплине «Физическая культура и спорт» на длительный период, самостоятельно прорабатывают теоретический материал, используя рекомендуемую литературу и сервер Moodle. Получают зачет после выполнения контрольных работ и защиты реферативной работы.</w:t>
      </w:r>
    </w:p>
    <w:p>
      <w:pPr/>
      <w:r>
        <w:rPr/>
        <w:t xml:space="preserve">Самостоятельная работа обучающихся направлена на самостоятельное изучение отдельных тем/вопросов учебной дисциплины. Самостоятельная работа является обязательной для каждого обучающегося, ее объем определяется учебным планом.</w:t>
      </w:r>
    </w:p>
    <w:p>
      <w:pPr/>
      <w:r>
        <w:rPr/>
        <w:t xml:space="preserve">Самостоятельная работа проводится по рекомендуемым учебникам в разделе 8 «Учебно-методическое и информационное обеспечение дисциплины», учебным пособиям, научной, справочной и популярной литературе, материалам периодических изданий и Интернета. В системе дистанционного обучения Moodle </w:t>
      </w:r>
      <w:hyperlink r:id="rId7" w:history="1">
        <w:r>
          <w:rPr/>
          <w:t xml:space="preserve">https://moodle2.petrsu.ru/mod/assign/view.php?id=22776</w:t>
        </w:r>
      </w:hyperlink>
      <w:r>
        <w:rPr/>
        <w:t xml:space="preserve">  разработан электронный учебно-методический комплекс «Физическая культура в здоровьесберегающем пространстве», (запись по логину и паролю в системе ИАИС ПетрГУ).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учебной дисциплины «Физическая культура и спорт» обобщает опыт предшествующей подготовки и опирается на имеющийся у студентов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студентов требования кафедры, требования техники безопасности,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назвать тему, раскрыть её практическое значение и  руководить работой студентов по усвоению учебного материала. После каждого занятия сделать соответствующую запись в журналах учёта посещаемости занятий студентами. Проводить групповые и индивидуальные консультации студентов в ходе их подготовки к зачету по учебной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Виленский, М. Я. Физическая культура и здоровый образ жизни студента : учеб.пособие для студентов вузов, изучающих дисциплину "Физическая культура", кроме направлений и спец. в области физической культуры и спорта / М. Я. Виленский, А. Г. Горшков. - Москва : ГАРДАРИКИ, 2007. - 219 с. : ил., табл. ;22 см. - (Disciplinae). - Глоссарий: с. 211-214. - Библиогр.: с. 215-216. - ISBN 978-5-8297-0316-5 </w:t>
      </w:r>
      <w:br/>
      <w:r>
        <w:rPr/>
        <w:t xml:space="preserve">2. Холодов, Ж. К. Теория и методика физического воспитания и спорта : учебное пособие для студентов высших учебных заведений, обучающихся по специальности "Физическая культура" / Ж. К. Холодов, В. С. Кузнецов. - 7-е изд., стер. - Москва : Академия, 2009. - 480 с. : ил., табл. ;22 см. - (Высшее профессиональное образование). - ISBN 978-5-7695-6214-3 </w:t>
      </w:r>
      <w:br/>
      <w:r>
        <w:rPr/>
        <w:t xml:space="preserve">3. Физическая культура : учебник / Л.В. Захарова, Н.В. Люлина, М.Д. Кудрявцев и др. ; Министерство образования и науки Российской Федерации, Сибирский Федеральный университет, Красноярский государственный педагогический университет им. В. П. Астафьева, Сибирский государственный университет науки и технологий им. акад. М. Ф. Решетнёва и др. - Красноярск : СФУ, 2017. - 612 с. : ил. - Библиогр.: с. 608-609. - ISBN 978-5-7638-3640-0 ; То же [Электронный ресурс]. - URL: http://biblioclub.ru/index.php?page=book&amp;id=497151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Усаков, В.И. Студенту о здоровье и физическом воспитании : учебное пособие / В.И. Усаков. - Москва ; Берлин : Директ-Медиа, 2016. - 104 с. : ил., табл. - Библиогр. в кн. - ISBN 978-5-4475-7955-5 ; То же [Электронный ресурс]. - URL: </w:t>
      </w:r>
      <w:hyperlink r:id="rId8" w:history="1">
        <w:r>
          <w:rPr/>
          <w:t xml:space="preserve">http://biblioclub.ru/index.php?page=book&amp;id=441285</w:t>
        </w:r>
      </w:hyperlink>
    </w:p>
    <w:p>
      <w:pPr>
        <w:numPr>
          <w:ilvl w:val="0"/>
          <w:numId w:val="7"/>
        </w:numPr>
      </w:pPr>
      <w:r>
        <w:rPr/>
        <w:t xml:space="preserve">Общая физическая подготовка в рамках самостоятельных занятий студентов : учебное пособие / М.С. Эммерт, О.О. Фадина, И.Н. Шевелева, О.А. Мельникова ; Минобрнауки России, Омский государственный технический университет. - Омск : Издательство ОмГТУ, 2017. - 112 с. : табл., ил. - Библиогр.: с. 98. - ISBN 978-5-8149-2547-3 ; То же [Электронный ресурс]. - URL: </w:t>
      </w:r>
      <w:hyperlink r:id="rId9" w:history="1">
        <w:r>
          <w:rPr/>
          <w:t xml:space="preserve">http://biblioclub.ru/index.php?page=book&amp;id=493420</w:t>
        </w:r>
      </w:hyperlink>
    </w:p>
    <w:p>
      <w:pPr>
        <w:numPr>
          <w:ilvl w:val="0"/>
          <w:numId w:val="7"/>
        </w:numPr>
      </w:pPr>
      <w:r>
        <w:rPr/>
        <w:t xml:space="preserve">Чуприна, Е.В. Здоровый образ жизни как один из аспектов безопасности жизнедеятельности : учебное пособие / Е.В. Чуприна, М.Н. Закирова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университет». - Самара : Самарский государственный архитектурно-строительный университет, 2013. - 216 с. : ил. - Библиогр. в кн. - ISBN 987-5-9585-0556-2; То же [Электронный ресурс]. - URL: </w:t>
      </w:r>
      <w:hyperlink r:id="rId10" w:history="1">
        <w:r>
          <w:rPr/>
          <w:t xml:space="preserve">http://biblioclub.ru/index.php?page=book&amp;id=256099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8"/>
        </w:numPr>
      </w:pPr>
      <w:r>
        <w:rPr/>
        <w:t xml:space="preserve">Пакет MicrosoftOffice 2007-2010 (Word, Excel, PowerPoint)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MSInternetExplorer, MozillaFirefox, Opera и др.</w:t>
      </w:r>
    </w:p>
    <w:p>
      <w:pPr/>
      <w:r>
        <w:rPr>
          <w:i w:val="1"/>
          <w:iCs w:val="1"/>
        </w:rPr>
        <w:t xml:space="preserve">б) интернет-ресурсы</w:t>
      </w:r>
    </w:p>
    <w:p>
      <w:pPr>
        <w:numPr>
          <w:ilvl w:val="0"/>
          <w:numId w:val="9"/>
        </w:numPr>
      </w:pPr>
      <w:hyperlink r:id="rId11" w:history="1">
        <w:r>
          <w:rPr/>
          <w:t xml:space="preserve">Центральная отраслевая библиотека по физической культуре и спорту</w:t>
        </w:r>
      </w:hyperlink>
      <w:r>
        <w:rPr/>
        <w:t xml:space="preserve">.Режим доступа: </w:t>
      </w:r>
      <w:hyperlink r:id="rId12" w:history="1">
        <w:r>
          <w:rPr/>
          <w:t xml:space="preserve">http://lib.sportedu.ru/</w:t>
        </w:r>
      </w:hyperlink>
    </w:p>
    <w:p>
      <w:pPr>
        <w:numPr>
          <w:ilvl w:val="0"/>
          <w:numId w:val="9"/>
        </w:numPr>
      </w:pPr>
      <w:r>
        <w:rPr/>
        <w:t xml:space="preserve">Сайт Государственного комитета Республики Карелия по физической культуре и спорту Режим доступа:  </w:t>
      </w:r>
      <w:hyperlink r:id="rId13" w:history="1">
        <w:r>
          <w:rPr/>
          <w:t xml:space="preserve">http://goskomsportrk.ru/</w:t>
        </w:r>
      </w:hyperlink>
    </w:p>
    <w:p>
      <w:pPr>
        <w:numPr>
          <w:ilvl w:val="0"/>
          <w:numId w:val="9"/>
        </w:numPr>
      </w:pPr>
      <w:r>
        <w:rPr/>
        <w:t xml:space="preserve">Спортивный портал Карелии Режим доступа: </w:t>
      </w:r>
      <w:hyperlink r:id="rId14" w:history="1">
        <w:r>
          <w:rPr/>
          <w:t xml:space="preserve">http://sportptz.ru/4743/</w:t>
        </w:r>
      </w:hyperlink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Теоретический курс дисциплины «Физическая культура и спорт» Режим доступа: </w:t>
      </w:r>
      <w:hyperlink r:id="rId15" w:history="1">
        <w:r>
          <w:rPr/>
          <w:t xml:space="preserve">https://moodle2.petrsu.ru/course/index.php?categoryid=49</w:t>
        </w:r>
      </w:hyperlink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Электронный  каталог Научной библиотеки ПетрГУ </w:t>
      </w:r>
      <w:hyperlink r:id="rId16" w:history="1">
        <w:r>
          <w:rPr/>
          <w:t xml:space="preserve">http://foliant.ru/catalog/psulibr</w:t>
        </w:r>
      </w:hyperlink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Электронный каталог библиотеки Республики Карелия  http://elibrary.karelia.ru/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7" w:history="1">
        <w:r>
          <w:rPr/>
          <w:t xml:space="preserve">http://biblioclub.ru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18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9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20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21" w:history="1">
        <w:r>
          <w:rPr/>
          <w:t xml:space="preserve">https://moodle2.petrsu.ru</w:t>
        </w:r>
      </w:hyperlink>
      <w:r>
        <w:rPr/>
        <w:t xml:space="preserve"> ), WebCT (</w:t>
      </w:r>
      <w:hyperlink r:id="rId22" w:history="1">
        <w:r>
          <w:rPr/>
          <w:t xml:space="preserve">https://webct.ru</w:t>
        </w:r>
      </w:hyperlink>
      <w:r>
        <w:rPr/>
        <w:t xml:space="preserve"> ), Blackboard (</w:t>
      </w:r>
      <w:hyperlink r:id="rId23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24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25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26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27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28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9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30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31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2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3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34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35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36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37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38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 внешние образовательные платформы ("Юрайт" (</w:t>
      </w:r>
      <w:hyperlink r:id="rId39" w:history="1">
        <w:r>
          <w:rPr/>
          <w:t xml:space="preserve">https://urait.ru/</w:t>
        </w:r>
      </w:hyperlink>
      <w:r>
        <w:rPr/>
        <w:t xml:space="preserve"> ), E-nano (</w:t>
      </w:r>
      <w:hyperlink r:id="rId40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41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D9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D871A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101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147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F27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108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2FD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B5F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A3F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95D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1FF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F29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768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7103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mod/assign/view.php?id=22776" TargetMode="External"/><Relationship Id="rId8" Type="http://schemas.openxmlformats.org/officeDocument/2006/relationships/hyperlink" Target="http://biblioclub.ru/index.php?page=book&amp;id=441285" TargetMode="External"/><Relationship Id="rId9" Type="http://schemas.openxmlformats.org/officeDocument/2006/relationships/hyperlink" Target="http://biblioclub.ru/index.php?page=book&amp;id=493420" TargetMode="External"/><Relationship Id="rId10" Type="http://schemas.openxmlformats.org/officeDocument/2006/relationships/hyperlink" Target="http://biblioclub.ru/index.php?page=book&amp;id=256099" TargetMode="External"/><Relationship Id="rId11" Type="http://schemas.openxmlformats.org/officeDocument/2006/relationships/hyperlink" Target="http://www.edu.ru/modules.php?op=modload&amp;name=Web_Links&amp;file=index&amp;l_op=visit&amp;lid=729" TargetMode="External"/><Relationship Id="rId12" Type="http://schemas.openxmlformats.org/officeDocument/2006/relationships/hyperlink" Target="http://lib.sportedu.ru/" TargetMode="External"/><Relationship Id="rId13" Type="http://schemas.openxmlformats.org/officeDocument/2006/relationships/hyperlink" Target="http://goskomsportrk.ru/" TargetMode="External"/><Relationship Id="rId14" Type="http://schemas.openxmlformats.org/officeDocument/2006/relationships/hyperlink" Target="http://sportptz.ru/4743/" TargetMode="External"/><Relationship Id="rId15" Type="http://schemas.openxmlformats.org/officeDocument/2006/relationships/hyperlink" Target="https://moodle2.petrsu.ru/course/index.php?categoryid=49" TargetMode="External"/><Relationship Id="rId16" Type="http://schemas.openxmlformats.org/officeDocument/2006/relationships/hyperlink" Target="http://foliant.ru/catalog/psulibr" TargetMode="External"/><Relationship Id="rId17" Type="http://schemas.openxmlformats.org/officeDocument/2006/relationships/hyperlink" Target="http://biblioclub.ru" TargetMode="External"/><Relationship Id="rId18" Type="http://schemas.openxmlformats.org/officeDocument/2006/relationships/hyperlink" Target="#" TargetMode="External"/><Relationship Id="rId19" Type="http://schemas.openxmlformats.org/officeDocument/2006/relationships/hyperlink" Target="https://iias.petrsu.ru" TargetMode="External"/><Relationship Id="rId20" Type="http://schemas.openxmlformats.org/officeDocument/2006/relationships/hyperlink" Target="https://edu.petrsu.ru" TargetMode="External"/><Relationship Id="rId21" Type="http://schemas.openxmlformats.org/officeDocument/2006/relationships/hyperlink" Target="https://moodle2.petrsu.ru" TargetMode="External"/><Relationship Id="rId22" Type="http://schemas.openxmlformats.org/officeDocument/2006/relationships/hyperlink" Target="https://webct.ru" TargetMode="External"/><Relationship Id="rId23" Type="http://schemas.openxmlformats.org/officeDocument/2006/relationships/hyperlink" Target="https://blackboard.petrsu.ru" TargetMode="External"/><Relationship Id="rId24" Type="http://schemas.openxmlformats.org/officeDocument/2006/relationships/hyperlink" Target="https://WebTutor.petrsu.ru" TargetMode="External"/><Relationship Id="rId25" Type="http://schemas.openxmlformats.org/officeDocument/2006/relationships/hyperlink" Target="https://portfolio.petrsu.ru" TargetMode="External"/><Relationship Id="rId26" Type="http://schemas.openxmlformats.org/officeDocument/2006/relationships/hyperlink" Target="https://library.petrsu.ru" TargetMode="External"/><Relationship Id="rId27" Type="http://schemas.openxmlformats.org/officeDocument/2006/relationships/hyperlink" Target="https://foliant.ru/catalog/psulibr" TargetMode="External"/><Relationship Id="rId28" Type="http://schemas.openxmlformats.org/officeDocument/2006/relationships/hyperlink" Target="https://elibrary.karelia.ru" TargetMode="External"/><Relationship Id="rId29" Type="http://schemas.openxmlformats.org/officeDocument/2006/relationships/hyperlink" Target="/page/science/journals" TargetMode="External"/><Relationship Id="rId30" Type="http://schemas.openxmlformats.org/officeDocument/2006/relationships/hyperlink" Target="https://zoom.us/" TargetMode="External"/><Relationship Id="rId31" Type="http://schemas.openxmlformats.org/officeDocument/2006/relationships/hyperlink" Target="https://vk.com/petrsu_ru" TargetMode="External"/><Relationship Id="rId32" Type="http://schemas.openxmlformats.org/officeDocument/2006/relationships/hyperlink" Target="https://www.facebook.com/petrsunews" TargetMode="External"/><Relationship Id="rId33" Type="http://schemas.openxmlformats.org/officeDocument/2006/relationships/hyperlink" Target="https://twitter.com/PetrSU_news" TargetMode="External"/><Relationship Id="rId34" Type="http://schemas.openxmlformats.org/officeDocument/2006/relationships/hyperlink" Target="https://www.youtube.com/channel/UCF6X8SpjmB8v2X6KGZBJNwA" TargetMode="External"/><Relationship Id="rId35" Type="http://schemas.openxmlformats.org/officeDocument/2006/relationships/hyperlink" Target="https://www.biblioclub.ru" TargetMode="External"/><Relationship Id="rId36" Type="http://schemas.openxmlformats.org/officeDocument/2006/relationships/hyperlink" Target="https://e.lanbook.com" TargetMode="External"/><Relationship Id="rId37" Type="http://schemas.openxmlformats.org/officeDocument/2006/relationships/hyperlink" Target="https://www.studentlibrary.ru" TargetMode="External"/><Relationship Id="rId38" Type="http://schemas.openxmlformats.org/officeDocument/2006/relationships/hyperlink" Target="https://www.rosmedlib.ru" TargetMode="External"/><Relationship Id="rId39" Type="http://schemas.openxmlformats.org/officeDocument/2006/relationships/hyperlink" Target="https://urait.ru/" TargetMode="External"/><Relationship Id="rId40" Type="http://schemas.openxmlformats.org/officeDocument/2006/relationships/hyperlink" Target="https://edunano.ru/" TargetMode="External"/><Relationship Id="rId41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2026-04-23T19:00:10+03:00</dcterms:created>
  <dcterms:modified xsi:type="dcterms:W3CDTF">2026-04-23T19:00:10+03:00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