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текста научно-исследовательской работы</w:t>
      </w:r>
    </w:p>
    <w:p>
      <w:pPr/>
      <w:r>
        <w:rPr/>
        <w:t xml:space="preserve">- подготовка к защите результатов научно-исследовательской работы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-сформировать у обучающихся умение оформлять результаты научно-исследовательской работы, в том числе в составе выпускной квалификационной работы  </w:t>
      </w:r>
    </w:p>
    <w:p>
      <w:pPr/>
      <w:r>
        <w:rPr/>
        <w:t xml:space="preserve">-сформировать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Форма проведения практики: 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
ПК-1.2. Владеет и организует сбор, обработку и передачу информации по вопросам условий и охраны труда;
ПК-1.3. Знает и использует основные методы и приемы оценки и снижения профессиональных рисков с учетом условий труда;
ПК-1.4. Способен организовывать обучение персонала организации по вопросам охраны труда.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виды, уровни и методы контроля за соблюдением требований охраны труда; 
ПК-2.2. Способен разрабатывать программу производственного контроля;
ПК-2.3. Умеет планировать мероприятия по контролю за соблюдением требований охраны  труда на рабочих местах;
ПК-2.4. Способен обеспечить расследование и осуществляет учет несчастных случаев на производстве и контроль профессиональных заболеваний;
ПК-2.5. Способен анализировать причины несоблюдения требований охраны труда;
ПК-2.6. Способен оценивать и оптимально выбирать адекватные меры по устранению выявленных нарушений в области охраны труда; 
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Формирование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Инструктаж по технике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 техногенного и природного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Изучение правил оформления текста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Изучение проведения статистической обработки результатов исследования в программе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Изучение правил формирования доклада о результатах научной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Изучение правил формирования электронной презентации в программе PowerPoint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Оформление результатов исследования по заданному варианту в том числе результатов собственного исследования, выполненного в рамках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текста научно-исследовательской работы, которая сдается по итогам практики. Обсуждение  индивидуальной траектории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решение комплектов задач (рабочая тетрадь);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"/>
        </w:numPr>
      </w:pPr>
      <w:r>
        <w:rPr/>
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Times New Roman,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Times New Roman, кегль 12, интервал 1,5).</w:t>
      </w:r>
    </w:p>
    <w:p>
      <w:pPr/>
      <w:r>
        <w:rPr/>
        <w:t xml:space="preserve">8.Используя программу PowerPoint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Примерная тематика курсовых работ</w:t>
      </w:r>
    </w:p>
    <w:p>
      <w:pPr/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/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2017 года;</w:t>
      </w:r>
    </w:p>
    <w:p>
      <w:pPr/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/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/>
      <w:r>
        <w:rPr/>
        <w:t xml:space="preserve"> Специфика аварийных ситуаций при использовании водного транспорта и способы эвакуации;</w:t>
      </w:r>
    </w:p>
    <w:p>
      <w:pPr/>
      <w:r>
        <w:rPr/>
        <w:t xml:space="preserve">Анализ и особенности аварий на радиационно опасных объектах, их ликвидация;</w:t>
      </w:r>
    </w:p>
    <w:p>
      <w:pPr/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/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/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/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/>
      <w:r>
        <w:rPr/>
        <w:t xml:space="preserve">Радоновая безопасность жилища и ее особенности в Республике Карелия;</w:t>
      </w:r>
    </w:p>
    <w:p>
      <w:pPr/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/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/>
      <w:r>
        <w:rPr/>
        <w:t xml:space="preserve">Особенности требований безопасности при проведении аварийно-спасательных</w:t>
      </w:r>
    </w:p>
    <w:p>
      <w:pPr/>
      <w:r>
        <w:rPr/>
        <w:t xml:space="preserve">безопасности на территории Северо-Западного федерального округа;</w:t>
      </w:r>
    </w:p>
    <w:p>
      <w:pPr/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/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/>
      <w:r>
        <w:rPr/>
        <w:t xml:space="preserve"> Анализ современных средств индивидуальной защиты, предназначенных для некоторых отраслей химической промышленности.</w:t>
      </w:r>
    </w:p>
    <w:p>
      <w:pPr/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/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/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/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/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промышленности;</w:t>
      </w:r>
    </w:p>
    <w:p>
      <w:pPr/>
      <w:r>
        <w:rPr/>
        <w:t xml:space="preserve">Исследование возможностей повышения устойчивости спасательной техники и базовых машин к износу;</w:t>
      </w:r>
    </w:p>
    <w:p>
      <w:pPr/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30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both"/>
      </w:pPr>
      <w:r>
        <w:rPr/>
        <w:t xml:space="preserve">Кузнецов, И. Н. Основы научных исследований : учебное пособие для бакалавров : 16+ / И. Н. Кузнецов. – 8-е изд. – Москва : Дашков и К°, 2023. – 282 с. – (Учебные издания для бакалавров). – Режим доступа: по подписке. – URL: </w:t>
      </w:r>
      <w:hyperlink r:id="rId7" w:history="1">
        <w:r>
          <w:rPr/>
          <w:t xml:space="preserve">https://biblioclub.ru/index.php?page=book&amp;id=710984</w:t>
        </w:r>
      </w:hyperlink>
      <w:r>
        <w:rPr/>
        <w:t xml:space="preserve"> (дата обращения: 06.05.2023). – Библиогр. в кн. – ISBN 978-5-394-05255-2. – Текст : электронный.</w:t>
      </w:r>
    </w:p>
    <w:p>
      <w:pPr>
        <w:jc w:val="both"/>
      </w:pPr>
      <w:r>
        <w:rPr/>
        <w:t xml:space="preserve">Фот, Ж. А. Основы научных исследований : учебное пособие : 16+ / Ж. А. Фот, Л. В. Юферова, А. А. Старовойтова ; Омский государственный технический университет. – Омск : Омский государственный технический университет (ОмГТУ), 2020. – 156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https://biblioclub.ru/index.php?page=book&amp;id=682954</w:t>
        </w:r>
      </w:hyperlink>
      <w:r>
        <w:rPr/>
        <w:t xml:space="preserve"> (дата обращения: 06.05.2023). – Библиогр.: с. 115-121. – ISBN 978-5-8149-3104-7. – Текст : электронный.</w:t>
      </w:r>
    </w:p>
    <w:p>
      <w:pPr>
        <w:jc w:val="both"/>
      </w:pP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both"/>
      </w:pPr>
      <w:r>
        <w:rPr/>
        <w:t xml:space="preserve">Основы научных исследований : учебное пособие : 16+ / А. H. Грачев, М. Ф. Гильфанов, А. В. Князева [и др.]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2018. – 88 с. – Режим доступа: по подписке. – URL: </w:t>
      </w:r>
      <w:hyperlink r:id="rId9" w:history="1">
        <w:r>
          <w:rPr/>
          <w:t xml:space="preserve">https://biblioclub.ru/index.php?page=book&amp;id=612327</w:t>
        </w:r>
      </w:hyperlink>
      <w:r>
        <w:rPr/>
        <w:t xml:space="preserve"> (дата обращения: 06.05.2023). – Библиогр.: с. 87. – ISBN 978-5-7882-2499-2. – Текст : электронный.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3"/>
        </w:numPr>
      </w:pPr>
      <w:r>
        <w:rPr/>
        <w:t xml:space="preserve"> ОС Windows 7, Windows 10, WindowsXP.</w:t>
      </w:r>
    </w:p>
    <w:p>
      <w:pPr>
        <w:numPr>
          <w:ilvl w:val="0"/>
          <w:numId w:val="3"/>
        </w:numPr>
      </w:pPr>
      <w:r>
        <w:rPr/>
        <w:t xml:space="preserve"> Офисный пакет: Office 2007.</w:t>
      </w:r>
    </w:p>
    <w:p>
      <w:pPr>
        <w:numPr>
          <w:ilvl w:val="0"/>
          <w:numId w:val="3"/>
        </w:numPr>
      </w:pPr>
      <w:r>
        <w:rPr/>
        <w:t xml:space="preserve"> 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4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4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22.05.2023). – Режим доступа: для зарегистрир. пользователей. – Текст : электронный.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EBE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149C1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94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2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10984" TargetMode="External"/><Relationship Id="rId8" Type="http://schemas.openxmlformats.org/officeDocument/2006/relationships/hyperlink" Target="https://biblioclub.ru/index.php?page=book&amp;id=682954" TargetMode="External"/><Relationship Id="rId9" Type="http://schemas.openxmlformats.org/officeDocument/2006/relationships/hyperlink" Target="https://biblioclub.ru/index.php?page=book&amp;id=612327" TargetMode="External"/><Relationship Id="rId10" Type="http://schemas.openxmlformats.org/officeDocument/2006/relationships/hyperlink" Target="http://www.mchs.gov.ru/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2026-04-23T18:59:50+03:00</dcterms:created>
  <dcterms:modified xsi:type="dcterms:W3CDTF">2026-04-23T18:59:50+03:00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