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преддипломная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-формирование текста научно-исследовательской работы</w:t>
      </w:r>
    </w:p>
    <w:p>
      <w:pPr/>
      <w:r>
        <w:rPr/>
        <w:t xml:space="preserve">-подготовка к защите результатов научно-исследовательской работы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-сформировать у обучающихся умение оформлять результаты научно-исследовательской работы, в том числе в составе выпускной квалификационной работы</w:t>
      </w:r>
      <w:r>
        <w:rPr/>
        <w:t xml:space="preserve">  </w:t>
      </w:r>
    </w:p>
    <w:p>
      <w:pPr/>
      <w:r>
        <w:rPr/>
        <w:t xml:space="preserve">-сформировать у обучающихся умение подготавливать электронную презентацию в программе </w:t>
      </w:r>
      <w:r>
        <w:rPr/>
        <w:t xml:space="preserve">PowerPoint</w:t>
      </w:r>
      <w:r>
        <w:rPr/>
        <w:t xml:space="preserve">, подготавливать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</w:t>
      </w:r>
    </w:p>
    <w:p>
      <w:pPr/>
      <w:r>
        <w:rPr/>
        <w:t xml:space="preserve">Форма проведения практики: 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обеспечивать функционирование системы управления охраной труда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нормативно-правовые акты, государственные требования обеспечения системы управления охраной труда;
ПК-1.2. Владеет и организует сбор, обработку и передачу информации по вопросам условий и охраны труда;
ПК-1.3. Знает и использует основные методы и приемы оценки и снижения профессиональных рисков с учетом условий труда;
ПК-1.4. Способен организовывать обучение персонала организации по вопросам охраны труда.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виды, уровни и методы контроля за соблюдением требований охраны труда; 
ПК-2.2. Способен разрабатывать программу производственного контроля;
ПК-2.3. Умеет планировать мероприятия по контролю за соблюдением требований охраны  труда на рабочих местах;
ПК-2.4. Способен обеспечить расследование и осуществляет учет несчастных случаев на производстве и контроль профессиональных заболеваний;
ПК-2.5. Способен анализировать причины несоблюдения требований охраны труда;
ПК-2.6. Способен оценивать и оптимально выбирать адекватные меры по устранению выявленных нарушений в области охраны труда; 
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Ознакомительная часть: цель и задачи научно-исследовательской работы, основные способы ведения НИР, возможные пути научных исследований в области техносферной безопасности,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Подготовка отчёта 3.2.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технике безопасности.  Оценочное средство: Собеседование.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шаблона дневника практики, предлагаемой учебной литературы. 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дидактических и научных материалов по проблемам и возможным траекториям научных  исследований в области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 посвященную защите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 посвященную защите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 посвященную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выпускной квалификационной работы, оцените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Оценочное средство: Решение практической задачи.  Используя научный стиль изложения составьте введение вашей выпускной квалификационной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 подготовьте 5 страниц машинописного текста (шрифт Times New Roman, кегль 12, интервал 1,5) главы «Обзор литературы» вашей выпускной квалификационной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 подготовьте 5 страниц машинописного текста (шрифт Times New Roman,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 подготовьте презентацию по итогам вашего исследования на защиту проекта. Объем презентации – 12 – 20 слайдов.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научный доклад на защиту вашей выпускной квалификационной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выпускной квалификационной работы. Обсудите с руководителем основные достоинства и недостатки вашего исследования, обсудите внесение возможных корректив.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дневника практики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занятие практического типа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both"/>
      </w:pPr>
      <w:r>
        <w:rPr/>
        <w:t xml:space="preserve">На установочной конференции обучающимся сообщается перечень заданий в рамках производственной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 В случае возникновения у обучающегося вопросов, он обращается к руководителю производственной практики.</w:t>
      </w:r>
    </w:p>
    <w:p>
      <w:pPr>
        <w:jc w:val="both"/>
      </w:pPr>
      <w:r>
        <w:rPr/>
        <w:t xml:space="preserve">Особое внимание следует уделить Отчету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</w:t>
      </w:r>
      <w:r>
        <w:rPr/>
        <w:t xml:space="preserve">Yimes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межстрочный интервал 1,5, выравнивание текста по ширине) по установленной форме.</w:t>
      </w:r>
    </w:p>
    <w:p>
      <w:pPr>
        <w:jc w:val="both"/>
      </w:pPr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решение комплектов задач (рабочая тетрадь);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выпускной квалификационной работы.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выпускной квалификационной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выпускной квалификационной работы.</w:t>
      </w:r>
    </w:p>
    <w:p>
      <w:pPr>
        <w:numPr>
          <w:ilvl w:val="0"/>
          <w:numId w:val="2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преддипломной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защиты населения и территорий от негативных факторов среды и поражающих факторов чрезвычайных ситуаций</w:t>
      </w:r>
    </w:p>
    <w:p>
      <w:pPr/>
      <w:r>
        <w:rPr/>
        <w:t xml:space="preserve">- принципы ведения научной работы, возможные пути научных исследований в области техносферной безопасности, защиты человека и окружающей среды от опасностей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выпускной квалификационной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Промежуточная аттестация проводится в виде дифференцированного зачета, включающего собеседование и задачи. Вопросы нацелены на оценку преимущественно теоретических знаний, задачи ориентированы преимущественно на проверку умений и владений. Обязательным условием прохождения промежуточной аттестации является защита Отчета по итогам прохождения преддипломной практики.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защиты населения и территорий от негативных факторов среды и поражающих факторов чрезвычайных ситуаций</w:t>
      </w:r>
    </w:p>
    <w:p>
      <w:pPr/>
      <w:r>
        <w:rPr/>
        <w:t xml:space="preserve">- принципы ведения научной работы, возможные пути научных исследований в области техносферной безопасности, защиты человека и окружающей среды от опасностей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методы статистической обработки данных</w:t>
      </w:r>
    </w:p>
    <w:p>
      <w:pPr/>
      <w:r>
        <w:rPr/>
        <w:t xml:space="preserve">- правила оформления текста выпускной квалификационной работы</w:t>
      </w:r>
    </w:p>
    <w:p>
      <w:pPr/>
      <w:r>
        <w:rPr/>
        <w:t xml:space="preserve">- правила формирования содержимого доклада, отражающего основные результаты научного исследования</w:t>
      </w:r>
    </w:p>
    <w:p>
      <w:pPr/>
      <w:r>
        <w:rPr/>
        <w:t xml:space="preserve">- структура части работы «Введение», ее роль в исследовании</w:t>
      </w:r>
    </w:p>
    <w:p>
      <w:pPr/>
      <w:r>
        <w:rPr/>
        <w:t xml:space="preserve">- структура главы «Обзор литературы», ее роль в исследовании</w:t>
      </w:r>
    </w:p>
    <w:p>
      <w:pPr/>
      <w:r>
        <w:rPr/>
        <w:t xml:space="preserve">- структура главы «Методы исследования», ее роль в исследовании</w:t>
      </w:r>
    </w:p>
    <w:p>
      <w:pPr/>
      <w:r>
        <w:rPr/>
        <w:t xml:space="preserve">- структура главы «Результаты исследования», ее роль в исследовании</w:t>
      </w:r>
    </w:p>
    <w:p>
      <w:pPr/>
      <w:r>
        <w:rPr/>
        <w:t xml:space="preserve">- структура главы «Обсуждение результатов исследования», ее роль в исследовании</w:t>
      </w:r>
    </w:p>
    <w:p>
      <w:pPr/>
      <w:r>
        <w:rPr/>
        <w:t xml:space="preserve">- структура главы «Обзор литературы», ее роль в исследовании</w:t>
      </w:r>
    </w:p>
    <w:p>
      <w:pPr/>
      <w:r>
        <w:rPr/>
        <w:t xml:space="preserve">- структура части работы «Выводы», ее роль в исследовании</w:t>
      </w:r>
    </w:p>
    <w:p>
      <w:pPr/>
      <w:r>
        <w:rPr/>
        <w:t xml:space="preserve">- научная гипотеза в исследовании, принципы ее формирования</w:t>
      </w:r>
    </w:p>
    <w:p>
      <w:pPr/>
      <w:r>
        <w:rPr/>
        <w:t xml:space="preserve">- принципы определения научно-практической значимости исследования</w:t>
      </w:r>
    </w:p>
    <w:p>
      <w:pPr/>
      <w:r>
        <w:rPr/>
        <w:t xml:space="preserve">- роль научного стиля изложения в формировании научных текстов</w:t>
      </w:r>
    </w:p>
    <w:p>
      <w:pPr/>
      <w:r>
        <w:rPr/>
        <w:t xml:space="preserve">-диаграммы и графики: правила их построения и включения в текст</w:t>
      </w:r>
    </w:p>
    <w:p>
      <w:pPr/>
      <w:r>
        <w:rPr/>
        <w:t xml:space="preserve">- приложение к научной работе, принципы его формирования и его роль в исследовании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3"/>
        </w:numPr>
      </w:pPr>
      <w:r>
        <w:rPr/>
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3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4.Используя программу PowerPoint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5.Используя научный стиль изложения, подготовьте научный доклад на защиту вашей выпускной квалификационной работы.</w:t>
      </w:r>
    </w:p>
    <w:p>
      <w:pPr>
        <w:numPr>
          <w:ilvl w:val="0"/>
          <w:numId w:val="4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Отчет.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отражает результаты проделанной работы в рамках прохождения практики в виде отчета.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Основное содержание Отчета по итогам прохождения преддипломной практики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Титульный лист: указывается ФИО обучающегося, номер группы, направление подготовки, место прохождения практики, год.</w:t>
      </w:r>
    </w:p>
    <w:p>
      <w:pPr/>
      <w:r>
        <w:rPr/>
        <w:t xml:space="preserve">Основная часть должна включать:</w:t>
      </w:r>
    </w:p>
    <w:p>
      <w:pPr/>
      <w:r>
        <w:rPr/>
        <w:t xml:space="preserve">1 Место прохождения практики</w:t>
      </w:r>
    </w:p>
    <w:p>
      <w:pPr/>
      <w:r>
        <w:rPr/>
        <w:t xml:space="preserve">2 Даты прохождения практики</w:t>
      </w:r>
    </w:p>
    <w:p>
      <w:pPr/>
      <w:r>
        <w:rPr/>
        <w:t xml:space="preserve">3 Цели и задачи практики</w:t>
      </w:r>
    </w:p>
    <w:p>
      <w:pPr/>
      <w:r>
        <w:rPr/>
        <w:t xml:space="preserve">4 Этапы проведенных работ</w:t>
      </w:r>
    </w:p>
    <w:p>
      <w:pPr/>
      <w:r>
        <w:rPr/>
        <w:t xml:space="preserve">- Формирование Введения к выпускной квалификационной работе</w:t>
      </w:r>
    </w:p>
    <w:p>
      <w:pPr/>
      <w:r>
        <w:rPr/>
        <w:t xml:space="preserve">- Формирование главы «Обзор литературы»</w:t>
      </w:r>
    </w:p>
    <w:p>
      <w:pPr/>
      <w:r>
        <w:rPr/>
        <w:t xml:space="preserve">- Формирование главы «Методы исследования»</w:t>
      </w:r>
    </w:p>
    <w:p>
      <w:pPr/>
      <w:r>
        <w:rPr/>
        <w:t xml:space="preserve">- Проведение необходимых исследований, статистическая обработка полученных данных</w:t>
      </w:r>
    </w:p>
    <w:p>
      <w:pPr/>
      <w:r>
        <w:rPr/>
        <w:t xml:space="preserve">- Формирование главы «Результаты исследования»</w:t>
      </w:r>
    </w:p>
    <w:p>
      <w:pPr/>
      <w:r>
        <w:rPr/>
        <w:t xml:space="preserve">- Формирование главы «Обсуждение результатов исследования»</w:t>
      </w:r>
    </w:p>
    <w:p>
      <w:pPr/>
      <w:r>
        <w:rPr/>
        <w:t xml:space="preserve">- Формирование части выпускной квалификационной работы «Выводы»</w:t>
      </w:r>
    </w:p>
    <w:p>
      <w:pPr/>
      <w:r>
        <w:rPr/>
        <w:t xml:space="preserve">- Формирование списка литературы</w:t>
      </w:r>
    </w:p>
    <w:p>
      <w:pPr/>
      <w:r>
        <w:rPr/>
        <w:t xml:space="preserve">- Итоги проведенных работ (Общие выводы по итогам практики)</w:t>
      </w:r>
    </w:p>
    <w:p>
      <w:pPr/>
      <w:r>
        <w:rPr/>
        <w:t xml:space="preserve">- Оценка руководителя практики с подписью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Горелов, С.В. Основы научных исследований : учебное пособие / С.В. Горелов, В.П. Горелов, Е.А. Григорьев ; под ред. В.П. Горелова. - 2-е изд., стер. - Москва ; Берлин : Директ-Медиа, 2016. - 534 с. : ил., табл. - Библиогр. в кн. - ISBN 978-5-4475-8350-7 ; То же [Электронный ресурс]. - URL: </w:t>
      </w:r>
      <w:hyperlink r:id="rId7" w:history="1">
        <w:r>
          <w:rPr/>
          <w:t xml:space="preserve">http://biblioclub.ru/index.php?page=book&amp;id=443846</w:t>
        </w:r>
      </w:hyperlink>
    </w:p>
    <w:p>
      <w:pPr>
        <w:numPr>
          <w:ilvl w:val="0"/>
          <w:numId w:val="5"/>
        </w:numPr>
      </w:pPr>
      <w:r>
        <w:rPr/>
        <w:t xml:space="preserve">Трубицын, В.А. Основы научных исследований : учебное пособие / В.А. Трубицын, А.А. Порохня, В.В. 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2016. - 149 с. : ил. - Библиогр. в кн. ; То же [Электронный ресурс]. - URL: </w:t>
      </w:r>
      <w:hyperlink r:id="rId8" w:history="1">
        <w:r>
          <w:rPr/>
          <w:t xml:space="preserve">http://biblioclub.ru/index.php?page=book&amp;id=459296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Вайнштейн, М.З. Основы научных исследований : учебное пособие / М.З. Вайнштейн, В.М. Вайнштейн, О.В. Кононова. - Йошкар-Ола : МарГТУ, 2011. - 216 с. : ил., табл. - Библиогр. в кн. ; То же [Электронный ресурс]. - URL: </w:t>
      </w:r>
      <w:hyperlink r:id="rId9" w:history="1">
        <w:r>
          <w:rPr/>
          <w:t xml:space="preserve">http://biblioclub.ru/index.php?page=book&amp;id=277061</w:t>
        </w:r>
      </w:hyperlink>
    </w:p>
    <w:p>
      <w:pPr>
        <w:numPr>
          <w:ilvl w:val="0"/>
          <w:numId w:val="6"/>
        </w:numPr>
      </w:pPr>
      <w:r>
        <w:rPr/>
        <w:t xml:space="preserve">Леонова, О.В. Основы научных исследований : учебное пособие / О.В. Леонова ; Министерство транспорта Российской Федерации, Московская государственная академия водного транспорта. - Москва : Альтаир-МГАВТ, 2013. - 65 с. : ил., табл., схем. - Библиогр. в кн. ; То же [Электронный ресурс]. - URL: </w:t>
      </w:r>
      <w:hyperlink r:id="rId10" w:history="1">
        <w:r>
          <w:rPr/>
          <w:t xml:space="preserve">http://biblioclub.ru/index.php?page=book&amp;id=429859</w:t>
        </w:r>
      </w:hyperlink>
    </w:p>
    <w:p>
      <w:pPr>
        <w:numPr>
          <w:ilvl w:val="0"/>
          <w:numId w:val="6"/>
        </w:numPr>
      </w:pPr>
      <w:r>
        <w:rPr/>
        <w:t xml:space="preserve">Шульмин, В.А. Основы научных исследований : учебное пособие / В.А. Шульмин ; Поволжский государственный технологический университет. - Йошкар-Ола : ПГТУ, 2014. - 180 с. : табл. - Библиогр. в кн. - ISBN 978-5-8158-1343-4 ; То же [Электронный ресурс]. - 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 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МЧС России </w:t>
      </w:r>
      <w:hyperlink r:id="rId12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/>
        <w:t xml:space="preserve">Сайт международного центра геофизических данных URL: </w:t>
      </w:r>
      <w:hyperlink r:id="rId13" w:history="1">
        <w:r>
          <w:rPr/>
          <w:t xml:space="preserve">http://www.ngdc.noaa.gov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метрологии. Действующие технические стандарты и регламенты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 Технический регламент Таможенного союза "О безопасности средств индивидуальной защиты" (ТР ТС - 019 - 2011)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 Технический регламент Таможенного союза "О безопасности оборудования, работающего под избыточным давлением" (ТР ТС - 032 - 2013)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 Технический регламент Таможенного союза "Электромагнитная совместимость технических средств" (ТР ТС - 020 - 2011)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 Технический регламент о требованиях пожарной безопасности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Федеральное агентство по техническому регулированию и метрологии Действующие технические стандарты и регламенты Технический регламент Таможенного союза "О безопасности взрывчатых веществ и изделий на их основе" (ТР ТС - 028 - 2012) </w:t>
      </w:r>
      <w:hyperlink r:id="rId14" w:history="1">
        <w:r>
          <w:rPr/>
          <w:t xml:space="preserve">https://www.gost.ru/portal/gost//home/standarts/technicalregulationses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здравоохранения РФ (</w:t>
      </w:r>
      <w:hyperlink r:id="rId15" w:history="1">
        <w:r>
          <w:rPr/>
          <w:t xml:space="preserve">Основные показатели здравоохранения 2014</w:t>
        </w:r>
      </w:hyperlink>
      <w:r>
        <w:rPr/>
        <w:t xml:space="preserve">, </w:t>
      </w:r>
      <w:hyperlink r:id="rId16" w:history="1">
        <w:r>
          <w:rPr/>
          <w:t xml:space="preserve">Социально-значимые заболевания населения России в 2014 году</w:t>
        </w:r>
      </w:hyperlink>
      <w:r>
        <w:rPr/>
        <w:t xml:space="preserve">, </w:t>
      </w:r>
      <w:hyperlink r:id="rId17" w:history="1">
        <w:r>
          <w:rPr/>
          <w:t xml:space="preserve">Заболеваемость населения старше трудоспособного возраста России в 2014 году</w:t>
        </w:r>
      </w:hyperlink>
      <w:r>
        <w:rPr/>
        <w:t xml:space="preserve">, </w:t>
      </w:r>
      <w:hyperlink r:id="rId18" w:history="1">
        <w:r>
          <w:rPr/>
          <w:t xml:space="preserve">Заболеваемость всего населения России в 2014 году</w:t>
        </w:r>
      </w:hyperlink>
      <w:r>
        <w:rPr/>
        <w:t xml:space="preserve">) </w:t>
      </w:r>
      <w:hyperlink r:id="rId19" w:history="1">
        <w:r>
          <w:rPr/>
          <w:t xml:space="preserve">https://www.rosminzdrav.ru/documents/9479-statisticheskaya-informatsiya-za-2014</w:t>
        </w:r>
      </w:hyperlink>
    </w:p>
    <w:p>
      <w:pPr>
        <w:numPr>
          <w:ilvl w:val="0"/>
          <w:numId w:val="8"/>
        </w:numPr>
      </w:pPr>
      <w:r>
        <w:rPr/>
        <w:t xml:space="preserve">База данных Федеральной службы государственной статистики Условия труда, компенсации за работу во вредных и опасных условиях труда </w:t>
      </w:r>
      <w:hyperlink r:id="rId20" w:history="1">
        <w:r>
          <w:rPr/>
          <w:t xml:space="preserve">http://cbsd.gks.ru/</w:t>
        </w:r>
      </w:hyperlink>
    </w:p>
    <w:p>
      <w:pPr>
        <w:numPr>
          <w:ilvl w:val="0"/>
          <w:numId w:val="8"/>
        </w:numPr>
      </w:pPr>
      <w:r>
        <w:rPr/>
        <w:t xml:space="preserve">Центр охраны труда, радиационной и экологической безопасности </w:t>
      </w:r>
      <w:hyperlink r:id="rId21" w:history="1">
        <w:r>
          <w:rPr/>
          <w:t xml:space="preserve">nsc.ru/cotreb</w:t>
        </w:r>
      </w:hyperlink>
    </w:p>
    <w:p>
      <w:pPr>
        <w:numPr>
          <w:ilvl w:val="0"/>
          <w:numId w:val="8"/>
        </w:numPr>
      </w:pPr>
      <w:r>
        <w:rPr/>
        <w:t xml:space="preserve">Роспатент </w:t>
      </w:r>
      <w:hyperlink r:id="rId22" w:history="1">
        <w:r>
          <w:rPr/>
          <w:t xml:space="preserve">https://rupto.ru/ru</w:t>
        </w:r>
      </w:hyperlink>
    </w:p>
    <w:p>
      <w:pPr>
        <w:numPr>
          <w:ilvl w:val="0"/>
          <w:numId w:val="8"/>
        </w:numPr>
      </w:pPr>
      <w:r>
        <w:rPr/>
        <w:t xml:space="preserve">База данных Федерального института промышленной собственности </w:t>
      </w:r>
      <w:hyperlink r:id="rId23" w:history="1">
        <w:r>
          <w:rPr/>
          <w:t xml:space="preserve">http://new.fips.ru/elektronnye-servisy/informatsionno-poiskovaya-sistema/bazy-dannykh.php</w:t>
        </w:r>
      </w:hyperlink>
      <w:r>
        <w:rPr/>
        <w:t xml:space="preserve"> </w:t>
      </w:r>
      <w:hyperlink r:id="rId24" w:history="1">
        <w:r>
          <w:rPr/>
          <w:t xml:space="preserve">http://new.fips.ru/elektronnye-servisy/</w:t>
        </w:r>
      </w:hyperlink>
    </w:p>
    <w:p>
      <w:pPr>
        <w:numPr>
          <w:ilvl w:val="0"/>
          <w:numId w:val="8"/>
        </w:numPr>
      </w:pPr>
      <w:r>
        <w:rPr/>
        <w:t xml:space="preserve">Базы данных патентов Евразийского патентного ведомства</w:t>
      </w:r>
      <w:hyperlink r:id="rId25" w:history="1">
        <w:r>
          <w:rPr/>
          <w:t xml:space="preserve">http://eapatis.com/</w:t>
        </w:r>
      </w:hyperlink>
    </w:p>
    <w:p>
      <w:pPr>
        <w:numPr>
          <w:ilvl w:val="0"/>
          <w:numId w:val="8"/>
        </w:numPr>
      </w:pPr>
      <w:r>
        <w:rPr/>
        <w:t xml:space="preserve">База данных Европейского патентного регистра </w:t>
      </w:r>
      <w:hyperlink r:id="rId26" w:history="1">
        <w:r>
          <w:rPr/>
          <w:t xml:space="preserve">https://register.epo.org/regviewer</w:t>
        </w:r>
      </w:hyperlink>
    </w:p>
    <w:p>
      <w:pPr>
        <w:numPr>
          <w:ilvl w:val="0"/>
          <w:numId w:val="8"/>
        </w:numPr>
      </w:pPr>
      <w:r>
        <w:rPr/>
        <w:t xml:space="preserve">База данных Design Viev </w:t>
      </w:r>
      <w:hyperlink r:id="rId27" w:history="1">
        <w:r>
          <w:rPr/>
          <w:t xml:space="preserve">https://www.tmdn.org/tmdsview-web/welcome</w:t>
        </w:r>
      </w:hyperlink>
    </w:p>
    <w:p>
      <w:pPr>
        <w:numPr>
          <w:ilvl w:val="0"/>
          <w:numId w:val="8"/>
        </w:numPr>
      </w:pPr>
      <w:r>
        <w:rPr/>
        <w:t xml:space="preserve">База данных </w:t>
      </w:r>
      <w:hyperlink r:id="rId28" w:history="1">
        <w:r>
          <w:rPr/>
          <w:t xml:space="preserve">PATENTSCOPE</w:t>
        </w:r>
      </w:hyperlink>
      <w:hyperlink r:id="rId29" w:history="1">
        <w:r>
          <w:rPr/>
          <w:t xml:space="preserve">https://patentscope.wipo.int/search/en/search.jsf</w:t>
        </w:r>
      </w:hyperlink>
    </w:p>
    <w:p>
      <w:pPr>
        <w:numPr>
          <w:ilvl w:val="0"/>
          <w:numId w:val="8"/>
        </w:numPr>
      </w:pPr>
      <w:r>
        <w:rPr/>
        <w:t xml:space="preserve">Патентная база данных США </w:t>
      </w:r>
      <w:hyperlink r:id="rId30" w:history="1">
        <w:r>
          <w:rPr/>
          <w:t xml:space="preserve">TESS</w:t>
        </w:r>
      </w:hyperlink>
      <w:r>
        <w:rPr/>
        <w:t xml:space="preserve">. </w:t>
      </w:r>
      <w:hyperlink r:id="rId30" w:history="1">
        <w:r>
          <w:rPr/>
          <w:t xml:space="preserve">https://www.uspto.gov/trademarks-application-process/search-trademark-database</w:t>
        </w:r>
      </w:hyperlink>
    </w:p>
    <w:p>
      <w:pPr>
        <w:numPr>
          <w:ilvl w:val="0"/>
          <w:numId w:val="8"/>
        </w:numPr>
      </w:pPr>
      <w:r>
        <w:rPr/>
        <w:t xml:space="preserve">База данных патентного ведомства Китая СТРО </w:t>
      </w:r>
      <w:hyperlink r:id="rId31" w:history="1">
        <w:r>
          <w:rPr/>
          <w:t xml:space="preserve">https://www.chinatrademarkoffice.com/index.php?ln=ru</w:t>
        </w:r>
      </w:hyperlink>
    </w:p>
    <w:p>
      <w:pPr>
        <w:numPr>
          <w:ilvl w:val="0"/>
          <w:numId w:val="8"/>
        </w:numPr>
      </w:pPr>
      <w:r>
        <w:rPr/>
        <w:t xml:space="preserve">База данных патентного ведомства Японии </w:t>
      </w:r>
      <w:hyperlink r:id="rId32" w:history="1">
        <w:r>
          <w:rPr/>
          <w:t xml:space="preserve">J-PlatPat</w:t>
        </w:r>
      </w:hyperlink>
      <w:r>
        <w:rPr/>
        <w:t xml:space="preserve">, </w:t>
      </w:r>
      <w:hyperlink r:id="rId33" w:history="1">
        <w:r>
          <w:rPr/>
          <w:t xml:space="preserve">https://www.j-platpat.inpit.go.jp/</w:t>
        </w:r>
      </w:hyperlink>
    </w:p>
    <w:p>
      <w:pPr>
        <w:numPr>
          <w:ilvl w:val="0"/>
          <w:numId w:val="8"/>
        </w:numPr>
      </w:pPr>
      <w:r>
        <w:rPr/>
        <w:t xml:space="preserve">База данных патентного ведомства Кореи </w:t>
      </w:r>
      <w:hyperlink r:id="rId34" w:history="1">
        <w:r>
          <w:rPr/>
          <w:t xml:space="preserve">KIPRIS</w:t>
        </w:r>
      </w:hyperlink>
      <w:r>
        <w:rPr/>
        <w:t xml:space="preserve"> </w:t>
      </w:r>
      <w:hyperlink r:id="rId35" w:history="1">
        <w:r>
          <w:rPr/>
          <w:t xml:space="preserve">http://eng.kipris.or.kr/enghome/main.jsp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выпускной квалификационной работы </w:t>
      </w:r>
      <w:hyperlink r:id="rId36" w:history="1">
        <w:r>
          <w:rPr/>
          <w:t xml:space="preserve">https://edu.petrsu.ru/object/11705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A5A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52091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5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9AD9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C1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7F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34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63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www.mchs.gov.ru/" TargetMode="External"/><Relationship Id="rId13" Type="http://schemas.openxmlformats.org/officeDocument/2006/relationships/hyperlink" Target="http://www.ngdc.noaa.gov/" TargetMode="External"/><Relationship Id="rId14" Type="http://schemas.openxmlformats.org/officeDocument/2006/relationships/hyperlink" Target="https://www.gost.ru/portal/gost/home/standarts/technicalregulationses" TargetMode="External"/><Relationship Id="rId15" Type="http://schemas.openxmlformats.org/officeDocument/2006/relationships/hyperlink" Target="https://static-1.rosminzdrav.ru/system/attachments/attaches/000/028/951/original/19_&#1054;&#1089;&#1085;&#1086;&#1074;&#1085;&#1099;&#1077;_&#1087;&#1086;&#1082;&#1072;&#1079;&#1072;&#1090;&#1077;&#1083;&#1080;_&#1079;&#1076;&#1088;&#1072;&#1074;&#1086;&#1086;&#1093;&#1088;&#1072;&#1085;&#1077;&#1085;&#1080;&#1103;_2014.doc?1451483546" TargetMode="External"/><Relationship Id="rId16" Type="http://schemas.openxmlformats.org/officeDocument/2006/relationships/hyperlink" Target="https://static-2.rosminzdrav.ru/system/attachments/attaches/000/028/945/original/11_&#1057;&#1086;&#1094;&#1080;&#1072;&#1083;&#1100;&#1085;&#1086;-&#1079;&#1085;&#1072;&#1095;&#1080;&#1084;&#1099;&#1077;_&#1079;&#1072;&#1073;&#1086;&#1083;&#1077;&#1074;&#1072;&#1085;&#1080;&#1103;_&#1085;&#1072;&#1089;&#1077;&#1083;&#1077;&#1085;&#1080;&#1103;_&#1056;&#1086;&#1089;&#1089;&#1080;&#1080;_&#1074;_2014_&#1075;&#1086;&#1076;&#1091;.DOC?1451483543" TargetMode="External"/><Relationship Id="rId17" Type="http://schemas.openxmlformats.org/officeDocument/2006/relationships/hyperlink" Target="https://static-2.rosminzdrav.ru/system/attachments/attaches/000/028/944/original/07_&#1047;&#1072;&#1073;&#1086;&#1083;&#1077;&#1074;&#1072;&#1077;&#1084;&#1086;&#1089;&#1090;&#1100;_&#1085;&#1072;&#1089;&#1077;&#1083;&#1077;&#1085;&#1080;&#1103;_&#1089;&#1090;&#1072;&#1088;&#1096;&#1077;_&#1090;&#1088;&#1091;&#1076;&#1086;&#1089;&#1087;&#1086;&#1089;&#1086;&#1073;&#1085;&#1086;&#1075;&#1086;_&#1074;&#1086;&#1079;&#1088;&#1072;&#1089;&#1090;&#1072;_&#1056;&#1086;&#1089;&#1089;&#1080;&#1080;_&#1074;_2014_&#1075;&#1086;&#1076;&#1091;.DOC?1451483542" TargetMode="External"/><Relationship Id="rId18" Type="http://schemas.openxmlformats.org/officeDocument/2006/relationships/hyperlink" Target="https://static-2.rosminzdrav.ru/system/attachments/attaches/000/028/936/original/01_&#1047;&#1072;&#1073;&#1086;&#1083;&#1077;&#1074;&#1072;&#1077;&#1084;&#1086;&#1089;&#1090;&#1100;_&#1074;&#1089;&#1077;&#1075;&#1086;_&#1085;&#1072;&#1089;&#1077;&#1083;&#1077;&#1085;&#1080;&#1103;_&#1056;&#1086;&#1089;&#1089;&#1080;&#1080;_&#1074;_2014_&#1075;&#1086;&#1076;&#1091;.doc?1451483533" TargetMode="External"/><Relationship Id="rId19" Type="http://schemas.openxmlformats.org/officeDocument/2006/relationships/hyperlink" Target="https://www.rosminzdrav.ru/documents/9479-statisticheskaya-informatsiya-za-2014" TargetMode="External"/><Relationship Id="rId20" Type="http://schemas.openxmlformats.org/officeDocument/2006/relationships/hyperlink" Target="http://cbsd.gks.ru/" TargetMode="External"/><Relationship Id="rId21" Type="http://schemas.openxmlformats.org/officeDocument/2006/relationships/hyperlink" Target="http://www.sbras.nsc.ru/cotreb" TargetMode="External"/><Relationship Id="rId22" Type="http://schemas.openxmlformats.org/officeDocument/2006/relationships/hyperlink" Target="https://rupto.ru/ru" TargetMode="External"/><Relationship Id="rId23" Type="http://schemas.openxmlformats.org/officeDocument/2006/relationships/hyperlink" Target="http://new.fips.ru/elektronnye-servisy/informatsionno-poiskovaya-sistema/bazy-dannykh.php" TargetMode="External"/><Relationship Id="rId24" Type="http://schemas.openxmlformats.org/officeDocument/2006/relationships/hyperlink" Target="http://new.fips.ru/elektronnye-servisy/" TargetMode="External"/><Relationship Id="rId25" Type="http://schemas.openxmlformats.org/officeDocument/2006/relationships/hyperlink" Target="http://eapatis.com/" TargetMode="External"/><Relationship Id="rId26" Type="http://schemas.openxmlformats.org/officeDocument/2006/relationships/hyperlink" Target="https://register.epo.org/regviewer" TargetMode="External"/><Relationship Id="rId27" Type="http://schemas.openxmlformats.org/officeDocument/2006/relationships/hyperlink" Target="https://www.tmdn.org/tmdsview-web/welcome" TargetMode="External"/><Relationship Id="rId28" Type="http://schemas.openxmlformats.org/officeDocument/2006/relationships/hyperlink" Target="https://patentscope.wipo.int/search/en/" TargetMode="External"/><Relationship Id="rId29" Type="http://schemas.openxmlformats.org/officeDocument/2006/relationships/hyperlink" Target="https://patentscope.wipo.int/search/en/search.jsf" TargetMode="External"/><Relationship Id="rId30" Type="http://schemas.openxmlformats.org/officeDocument/2006/relationships/hyperlink" Target="https://www.uspto.gov/trademarks-application-process/search-trademark-database" TargetMode="External"/><Relationship Id="rId31" Type="http://schemas.openxmlformats.org/officeDocument/2006/relationships/hyperlink" Target="https://www.chinatrademarkoffice.com/index.php?ln=ru" TargetMode="External"/><Relationship Id="rId32" Type="http://schemas.openxmlformats.org/officeDocument/2006/relationships/hyperlink" Target="https://www.j-platpat.inpit.go.jp/web/all/top/BTmTopEnglishPage" TargetMode="External"/><Relationship Id="rId33" Type="http://schemas.openxmlformats.org/officeDocument/2006/relationships/hyperlink" Target="https://www.j-platpat.inpit.go.jp/" TargetMode="External"/><Relationship Id="rId34" Type="http://schemas.openxmlformats.org/officeDocument/2006/relationships/hyperlink" Target="http://eng.kipris.or.kr/" TargetMode="External"/><Relationship Id="rId35" Type="http://schemas.openxmlformats.org/officeDocument/2006/relationships/hyperlink" Target="http://eng.kipris.or.kr/enghome/main.jsp" TargetMode="External"/><Relationship Id="rId36" Type="http://schemas.openxmlformats.org/officeDocument/2006/relationships/hyperlink" Target="https://edu.petrsu.ru/object/11705" TargetMode="External"/><Relationship Id="rId3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