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УПРАВЛЕНИЯ ОБРАЗОВАТЕЛЬНЫМИ СИСТЕМАМИ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управления образовательными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25</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Основные управленческие функции. Принципы управления</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Школа как открытая педагогическая система и объект управления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ОСУ. Проектирование миссии школы и целей среднего общего образования.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Планирование образовательного процесса в школе</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19</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 В.С. Лазаревым так раскрывается понятие функции управления – 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 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 •	пассивно-приспособительно, пытаясь успевать за изменениями среды и ее требований; •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 •	И, наконец, может сама активно влиять на свою окружающую среду, т.е. выступать как система одновременно адаптивная (по отношению к среде) и адаптирующая (приспосабливающая среду к своим потребностям и возможностям).</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4. Управляющая система школы. 1.	Понятие организационной структуры. 2.	Типы организационных структур управления. 3.	Достоинства и недостатки определенного типа ОСУ. 4.	Централизованные и децентрализованные ОСУ. Механические и органические структуры управления. 5.	Факторы, влияющие на строение управляющей системы школы. 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 Организационная структура управления – это совокупность органов и лиц, между которыми распределены полномочия и ответственность за выполнение управленческих функций и существуют регулярно вос-производимые связи и отношения. 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 Достоинство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6. Управленческая культура руководителя.  Повышение квалификации и аттестация работников школы Чтобы выполнять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 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 •	высокое чувство долга и преданности делу; •	честность в отношении с людьми и доверие к партнерам; •	умение четко выражать свои мысли и убеждать; •	уважительное и заботливое отношение к людям вне зависимости от их положения и организационной иерархии; •	способность быстро восстанавливать свои физические и душевные силы и критически оценивать собственную деятельность. </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36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pStyle w:val="Heading3"/>
      </w:pPr>
      <w:r>
        <w:rPr/>
        <w:t xml:space="preserve">Тема 1. Государственная политика в области образования.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pStyle w:val="Heading3"/>
      </w:pPr>
      <w:r>
        <w:rPr>
          <w:b w:val="1"/>
          <w:bCs w:val="1"/>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r>
        <w:rPr/>
        <w:t xml:space="preserve">Задания для самостоятельной работы</w:t>
      </w:r>
    </w:p>
    <w:p>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 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r>
        <w:rPr/>
        <w:t xml:space="preserve">Вопросы для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 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b w:val="1"/>
          <w:bCs w:val="1"/>
        </w:rPr>
        <w:t xml:space="preserve">Вопросы для проверки уровня подготовки по курсу «Основы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 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 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13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66F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A4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538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C3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B6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A34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55F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02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586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3B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819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7F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17F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212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475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AE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619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24D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D6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47E5D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726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CD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392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23F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879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4E8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CA4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B037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34F3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543E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0A56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4118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4A52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930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2026-04-23T20:44:16+03:00</dcterms:created>
  <dcterms:modified xsi:type="dcterms:W3CDTF">2026-04-23T20:44:16+03:00</dcterms:modified>
</cp:coreProperties>
</file>

<file path=docProps/custom.xml><?xml version="1.0" encoding="utf-8"?>
<Properties xmlns="http://schemas.openxmlformats.org/officeDocument/2006/custom-properties" xmlns:vt="http://schemas.openxmlformats.org/officeDocument/2006/docPropsVTypes"/>
</file>