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функции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методика подготовки и проведения культурно-досуговых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подготовки, организации и проведения массовых форм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подход в организации культурно 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семьей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работа с людьми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Музыкальное оформление культурно-досуговых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режиссуру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сценарием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концертов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созданием номеров различных эстрадных жанров.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эстрадных представлений и концертов.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экзамеционному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</w:t>
      </w:r>
      <w:r>
        <w:rPr/>
        <w:t xml:space="preserve"> </w:t>
      </w:r>
      <w:r>
        <w:rPr/>
        <w:t xml:space="preserve">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 - досуговая деятельность», функции и структура досуга.</w:t>
      </w:r>
    </w:p>
    <w:p>
      <w:pPr/>
      <w:r>
        <w:rPr/>
        <w:t xml:space="preserve">5) Основные направления досуговой деятельности детей и подростков в учреждениях дополнительного образования детей.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/>
        <w:t xml:space="preserve">Содержательность конспекта, соответствие плану; отражение основных положений, результатов работы автора, выводов; ясность, лаконичность изложения мыслей студента; наличие схем, графическое выделение особо значимой информации; соответствие оформления требованиям; грамотность изложения; сдача конспекта преподавателю в срок.  </w:t>
      </w:r>
    </w:p>
    <w:p>
      <w:pPr/>
      <w:r>
        <w:rPr/>
        <w:t xml:space="preserve">Не отражены основные положения изученной темы -  0 баллов</w:t>
      </w:r>
    </w:p>
    <w:p>
      <w:pPr/>
      <w:r>
        <w:rPr/>
        <w:t xml:space="preserve">Темы отражены в соответствии с планируемыми результатами обучения – 2 балла</w:t>
      </w:r>
    </w:p>
    <w:p>
      <w:pPr/>
      <w:r>
        <w:rPr/>
        <w:t xml:space="preserve">В сумме по данному оценочному средству (5 тем) студент может набрать 10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tbl>
      <w:tblGrid>
        <w:gridCol w:w="810" w:type="dxa"/>
        <w:gridCol w:w="11880" w:type="dxa"/>
      </w:tblGrid>
      <w:tblPr>
        <w:tblW w:w="12675" w:type="dxa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Теория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Сущность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Социальные функции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Принципы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Технология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Содержание, формы, средства и методы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Общая методика подготовки и проведения культурно-досуговых программ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Методика подготовки, организации и проведения массовых форм досуга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Сценарий – основа досуговой программы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Творческие аспекты обучения драматургии культурно-досуговых программ.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Формы культурно-досуговой деятельности.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Статичные формы (представления)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Созидание - гуляние как особый тип форм работы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Формы культурно-досуговой работы типа «путешествие»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Дифференцированный подход в организации культурно -досуговых программ.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Особенности работы с семьей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Культурно-досуговая работа с людьми пожилого возраста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Социально-культурная адаптация инвалидов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Особенности работы с молодежной аудиторией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Добровольные (волонтерские) объединения молодежи как форма организации социально-культурного досуга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Культурно-досуговая среда учреждений культуры.</w:t>
            </w:r>
          </w:p>
        </w:tc>
      </w:tr>
    </w:tbl>
    <w:p>
      <w:pPr>
        <w:numPr>
          <w:ilvl w:val="0"/>
          <w:numId w:val="1"/>
        </w:numPr>
      </w:pPr>
      <w:r>
        <w:rPr>
          <w:b w:val="1"/>
          <w:bCs w:val="1"/>
        </w:rPr>
        <w:t xml:space="preserve"> Критерии оценивания результатов обучения</w:t>
      </w:r>
    </w:p>
    <w:p>
      <w:pPr/>
      <w:r>
        <w:rPr/>
        <w:t xml:space="preserve"> </w:t>
      </w:r>
    </w:p>
    <w:tbl>
      <w:tblGrid>
        <w:gridCol w:w="2655" w:type="dxa"/>
        <w:gridCol w:w="9045" w:type="dxa"/>
      </w:tblGrid>
      <w:tblPr>
        <w:tblW w:w="1170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доклада, вопросов к коллоквиумам, творческих заданий, конспектов.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-конспекты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4"/>
        </w:numPr>
      </w:pPr>
      <w:r>
        <w:rPr/>
        <w:t xml:space="preserve">Афанасьев С.П. Комор</w:t>
      </w:r>
      <w:r>
        <w:rPr/>
        <w:t xml:space="preserve">u</w:t>
      </w:r>
      <w:r>
        <w:rPr/>
        <w:t xml:space="preserve">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>
        <w:numPr>
          <w:ilvl w:val="0"/>
          <w:numId w:val="4"/>
        </w:numPr>
      </w:pPr>
      <w:r>
        <w:rPr/>
        <w:t xml:space="preserve">Афанасьев С.П. Методика организации конкурсных программ / / Вестник КГПУ им. Н.А Некрасова, 1995. - № 1. –С. 57-61.</w:t>
      </w:r>
    </w:p>
    <w:p>
      <w:pPr>
        <w:numPr>
          <w:ilvl w:val="0"/>
          <w:numId w:val="4"/>
        </w:numPr>
      </w:pPr>
      <w:r>
        <w:rPr/>
        <w:t xml:space="preserve">Афанасьев С.П. Первый звонок: Что делать в школе 1 сентября: Методическое пособие. - Кострома: Эврика-М, 1999. - 112 с.</w:t>
      </w:r>
    </w:p>
    <w:p>
      <w:pPr>
        <w:numPr>
          <w:ilvl w:val="0"/>
          <w:numId w:val="4"/>
        </w:numPr>
      </w:pPr>
      <w:r>
        <w:rPr/>
        <w:t xml:space="preserve">Афанасьев С.П. Последний звонок: Как организовать праздник для выпускников: Методическое пособие. -</w:t>
      </w:r>
      <w:r>
        <w:rPr/>
        <w:t xml:space="preserve">Koc</w:t>
      </w:r>
      <w:r>
        <w:rPr/>
        <w:t xml:space="preserve">т</w:t>
      </w:r>
      <w:r>
        <w:rPr/>
        <w:t xml:space="preserve">p</w:t>
      </w:r>
      <w:r>
        <w:rPr/>
        <w:t xml:space="preserve">ом</w:t>
      </w:r>
      <w:r>
        <w:rPr/>
        <w:t xml:space="preserve">a</w:t>
      </w:r>
      <w:r>
        <w:rPr/>
        <w:t xml:space="preserve">, 1995.</w:t>
      </w:r>
    </w:p>
    <w:p>
      <w:pPr>
        <w:numPr>
          <w:ilvl w:val="0"/>
          <w:numId w:val="4"/>
        </w:numPr>
      </w:pPr>
      <w:r>
        <w:rPr/>
        <w:t xml:space="preserve">Байбородова Л.В., Рожков </w:t>
      </w:r>
      <w:r>
        <w:rPr/>
        <w:t xml:space="preserve">M</w:t>
      </w:r>
      <w:r>
        <w:rPr/>
        <w:t xml:space="preserve">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>
        <w:numPr>
          <w:ilvl w:val="0"/>
          <w:numId w:val="4"/>
        </w:numPr>
      </w:pPr>
      <w:r>
        <w:rPr/>
        <w:t xml:space="preserve">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>
        <w:numPr>
          <w:ilvl w:val="0"/>
          <w:numId w:val="4"/>
        </w:numPr>
      </w:pPr>
      <w:r>
        <w:rPr/>
        <w:t xml:space="preserve">Беловрыкина А. Волшебный мир домашнего театра. М.,1999.</w:t>
      </w:r>
    </w:p>
    <w:p>
      <w:pPr>
        <w:numPr>
          <w:ilvl w:val="0"/>
          <w:numId w:val="4"/>
        </w:numPr>
      </w:pPr>
      <w:r>
        <w:rPr/>
        <w:t xml:space="preserve">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1.Васильцова З.П. Мудрые мысли народной педагогики. М.,1984.</w:t>
      </w:r>
    </w:p>
    <w:p>
      <w:pPr>
        <w:numPr>
          <w:ilvl w:val="0"/>
          <w:numId w:val="5"/>
        </w:numPr>
      </w:pPr>
      <w:r>
        <w:rPr/>
        <w:t xml:space="preserve">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</w:t>
      </w:r>
      <w:r>
        <w:rPr/>
        <w:t xml:space="preserve">https</w:t>
      </w:r>
      <w:r>
        <w:rPr/>
        <w:t xml:space="preserve">://</w:t>
      </w:r>
      <w:r>
        <w:rPr/>
        <w:t xml:space="preserve">vk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</w:t>
      </w:r>
      <w:r>
        <w:rPr/>
        <w:t xml:space="preserve">https</w:t>
      </w:r>
      <w:r>
        <w:rPr/>
        <w:t xml:space="preserve">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соц.сетьВКонтакте.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8668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32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6C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CB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6376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79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2026-04-23T20:44:12+03:00</dcterms:created>
  <dcterms:modified xsi:type="dcterms:W3CDTF">2026-04-23T20:44:12+03:00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