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И ПОНЯТИЙНЫЙ АППАРАТ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и понятийный аппарат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жизнедеятельности и ее основные положения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и чрезвычайные ситуации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риска и управление рисками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безопасности человека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человека и среды обитания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Дестабилизирующие факторы современности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и ее значение для человечества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— основная потребность человека, общества и государства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систем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предмет и задачи дисциплины «Безопасность жизнедеятельности». Основные положения дисциплины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жизнедеятельности как наука и учебная дисциплина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курсе «Безопасность жизнедеятельности»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Опасности, их классификация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опасностей и причины их возникновения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и вредные производственные факторы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Экстремальные и чрезвычайные ситуации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виды ЧС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и защита в чрезвычайных ситуациях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рисков.  Концепция приемлемого (допустимого) риска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 и безопасность. Управление рисками и прогнозирование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системы безопасности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проблем безопасности в современных условиях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обеспечения безопасности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обеспечения безопасности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среда его обитания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системе «природа – общество – человек». Диалектика взаимоотношений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организма к среде обитания. Адаптация и стресс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Биологические ритмы организма как один из факторов взаимосвязи организма и среды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дестабилизирующих факторов современности. Превентивные меры          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Демографическая ситуация в России как фактор опасности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населения как фактор личной и национальной безопасности страны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культуры безопасности для личности, общества, государства и цивилизации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Безопасность, культура и нравственность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«Личностная потребность в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работа по теме «История развития систем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«Дисциплина «Безопасность жизнедеятельности»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«Интерпретация понятий курса БЖ»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«Идентификация опасностей»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«Определение источников опасностей»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«Дерево причин» опасностей как система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«Построение дерева причин»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по теме «Опасные и вредные производственные факторы»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по теме «Классификация и виды ЧС»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мероприятий по защите студентов вашего вуза от возможных ЧС в вашем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работа по теме «Риск»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«Построение схемы объектов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на тему «Решение проблем безопасности в современных условиях»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«Построение схемы методов обеспечения безопасности жизнедеятельности обучающегося».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«Естественные системы защиты организма как факторы индивидуальной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систем безопасности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«Совместимость элементов системы «человек-среда»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по теме «Безопасность в системе «природа – общество – человек»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фильма про адаптацию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биоритмологического профиля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социальных проблем по фильмам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Миграция как социальная проблема современности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борьбы с миграцией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«Оценка демографической ситуация в Карелии»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«Изучение факторов, влияющих на здоровье»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курса БЖ для решения социокультурных проблем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«Традиции народов России»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сфере культуры, образования, науки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художественной литературы, в которой рассматривается проблема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курсов БЖ и учителя в формировании культуры безопасности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«Культура безопасности»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понятийного словаря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устойчивого положительного отношения к курсам БЖ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работа по изученному курсу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по теме &amp;quot;Опасные и вредные производственные факторы&amp;quot;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 по теме «Безопасность в системе «природа – общество – человек»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выполняется каждым обучающимся самостоятельно по предварительно заданному плану.  </w:t>
      </w:r>
    </w:p>
    <w:p>
      <w:pPr/>
      <w:r>
        <w:rPr/>
        <w:t xml:space="preserve">1) Структура академического эссе:</w:t>
      </w:r>
    </w:p>
    <w:p>
      <w:pPr/>
      <w:r>
        <w:rPr/>
        <w:t xml:space="preserve">Академическое эссе состоит из следующих частей:</w:t>
      </w:r>
    </w:p>
    <w:p>
      <w:pPr/>
      <w:r>
        <w:rPr/>
        <w:t xml:space="preserve">Заголовок  — отражает основную научную проблему, которой посвящено эссе. Заголовок должен быть оформлен эстетично.</w:t>
      </w:r>
    </w:p>
    <w:p>
      <w:pPr/>
      <w:r>
        <w:rPr/>
        <w:t xml:space="preserve">Вступление — тезис-проблема. Вступление содержит 1) общее введение; 2) основная информация / сведения по истории вопроса; 3) описание того, о чем конкретно будет говориться в основной части.</w:t>
      </w:r>
    </w:p>
    <w:p>
      <w:pPr/>
      <w:r>
        <w:rPr/>
        <w:t xml:space="preserve">Аргументация  — аргументированное раскрытие проблемы на основе собранного материала. Анализ данных и аргументация должны точно соотноситься с поднятыми в эссе проблемами. Данная часть работы включает соотношение и обобщение других точек зрения с изложением собственной и ее обоснование. В ходе аргументации /рассуждения рекомендуется использовать в качестве иллюстративного материала эмпирические сведения. В данной части работы следует придерживаться строгой структуры и иерархии (от главного к второстепенному, от более к менее важному). Доказательства должны быть сильными, убедительными, взвешенными, эффективными, самостоятельными, непротиворечивыми. Их количество зависит от обсуждаемой проблемы, избранного плана и логики развития мысли. Для выделения главных моментов аргументированного изложения, обозначения его основных пунктов и соблюдения логики в раскрытии проблемы рекомендуется использовать параграфы / подзаголовки (их можно озаглавить). Один параграф / подзаголовок отражает одну главную мысль.</w:t>
      </w:r>
    </w:p>
    <w:p>
      <w:pPr/>
      <w:r>
        <w:rPr/>
        <w:t xml:space="preserve">Заключение (Conclusion) — краткое обобщение и изложение основных аргументов. Заключение может содержать также такой важный, дополняющий эссе элемент как указание на применение вашей работы, не исключая взаимосвязи с другими проблемами.</w:t>
      </w:r>
    </w:p>
    <w:p>
      <w:pPr/>
      <w:r>
        <w:rPr/>
        <w:t xml:space="preserve">Академическое эссе отличает «резкая персона-лизация», рефлексичность, критичность (главная цель — высказать свое мнение, убедительно доказать и аргументировать его), академический стиль, точность, четкость, ясность, богатство мысли, логичность и легкость изложения мыслей. Объем — от 1 500 до 4 000 слов.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подготавливаются каждым обучающимся самостоятельно и представляются в виде презентации по определенной заданной теме. Текст сообщения/доклада должен содержать вступления, основную чать и заключение и соответствовать заданной теме.  Время выступления одного учащегося 10-15 минут. </w:t>
      </w:r>
    </w:p>
    <w:p>
      <w:pPr/>
      <w:r>
        <w:rPr/>
        <w:t xml:space="preserve">Общие правила оформления презентаций</w:t>
      </w:r>
      <w:br/>
      <w:r>
        <w:rPr/>
        <w:t xml:space="preserve">Общие требования:</w:t>
      </w:r>
      <w:br/>
      <w:r>
        <w:rPr/>
        <w:t xml:space="preserve">1. На слайдах должны быть только тезисы, ключевые фразы и графическая информация (рисунки,</w:t>
      </w:r>
      <w:br/>
      <w:r>
        <w:rPr/>
        <w:t xml:space="preserve">графики и т.п.) – они сопровождают подробное изложение мыслей докладчика, но не наоборот;</w:t>
      </w:r>
      <w:br/>
      <w:r>
        <w:rPr/>
        <w:t xml:space="preserve">2. Количество слайдов должно быть не более 20;</w:t>
      </w:r>
      <w:br/>
      <w:r>
        <w:rPr/>
        <w:t xml:space="preserve">3. При докладе рассчитывайте, что на один слайд должно уходить в среднем 1,5 минуты;</w:t>
      </w:r>
      <w:br/>
      <w:r>
        <w:rPr/>
        <w:t xml:space="preserve">4. Не стоит заполнять слайд большим количеством информации. Наиболее важную информацию</w:t>
      </w:r>
      <w:br/>
      <w:r>
        <w:rPr/>
        <w:t xml:space="preserve">желательно помещать в центр слайда;</w:t>
      </w:r>
      <w:br/>
      <w:r>
        <w:rPr/>
        <w:t xml:space="preserve">5. По желанию можно раздать слушателям бумажные копии презентации.</w:t>
      </w:r>
      <w:br/>
      <w:r>
        <w:rPr/>
        <w:t xml:space="preserve">Примерный порядок слайдов:</w:t>
      </w:r>
      <w:br/>
      <w:r>
        <w:rPr/>
        <w:t xml:space="preserve"> 1 слайд – Титульный (организация, название работы, автор, руководитель, рецензент, дата);</w:t>
      </w:r>
      <w:br/>
      <w:r>
        <w:rPr/>
        <w:t xml:space="preserve"> 2 слайд – Вводная часть (постановка проблемы, актуальность и новизна, на каких материалах</w:t>
      </w:r>
      <w:br/>
      <w:r>
        <w:rPr/>
        <w:t xml:space="preserve">базируется работа);</w:t>
      </w:r>
      <w:br/>
      <w:r>
        <w:rPr/>
        <w:t xml:space="preserve"> 3 слайд – Цели и задачи работы;</w:t>
      </w:r>
      <w:br/>
      <w:r>
        <w:rPr/>
        <w:t xml:space="preserve"> 4 слайд – Методы, применяемые в работе;</w:t>
      </w:r>
      <w:br/>
      <w:r>
        <w:rPr/>
        <w:t xml:space="preserve"> 5…n слайд – Основная часть;</w:t>
      </w:r>
      <w:br/>
      <w:r>
        <w:rPr/>
        <w:t xml:space="preserve"> n+1 слайд – Заключение (выводы);</w:t>
      </w:r>
      <w:br/>
      <w:r>
        <w:rPr/>
        <w:t xml:space="preserve"> n+2 слайд – Список основных использованных источников;</w:t>
      </w:r>
      <w:br/>
      <w:r>
        <w:rPr/>
        <w:t xml:space="preserve"> n+3 слайд – Спасибо за внимание! (подпись, возможно выражение благодарности тем, кто руководил,</w:t>
      </w:r>
      <w:br/>
      <w:r>
        <w:rPr/>
        <w:t xml:space="preserve">рецензировал и/или помогал в работе).</w:t>
      </w:r>
      <w:br/>
      <w:r>
        <w:rPr/>
        <w:t xml:space="preserve">Правила шрифтового оформления:</w:t>
      </w:r>
      <w:br/>
      <w:r>
        <w:rPr/>
        <w:t xml:space="preserve">1. Рекомендуется использовать шрифты с засечками (Georgia, Palatino, Times New Roman);</w:t>
      </w:r>
      <w:br/>
      <w:r>
        <w:rPr/>
        <w:t xml:space="preserve">2. Размер шрифта: 24-54 пункта (заголовок), 18-36 пунктов (обычный текст);</w:t>
      </w:r>
      <w:br/>
      <w:r>
        <w:rPr/>
        <w:t xml:space="preserve">3. Курсив, подчеркивание, жирный шрифт, прописные буквы используются для смыслового выделения</w:t>
      </w:r>
      <w:br/>
      <w:r>
        <w:rPr/>
        <w:t xml:space="preserve">ключевой информации и заголовков;</w:t>
      </w:r>
      <w:br/>
      <w:r>
        <w:rPr/>
        <w:t xml:space="preserve">4. Не рекомендуется использовать более 2-3 типов шрифта;</w:t>
      </w:r>
      <w:br/>
      <w:r>
        <w:rPr/>
        <w:t xml:space="preserve">5. Основной текст должен быть отформатирован по ширине, на схемах – по центру</w:t>
      </w:r>
      <w:br/>
      <w:r>
        <w:rPr/>
        <w:t xml:space="preserve">Правила выбора цветовой гаммы:</w:t>
      </w:r>
      <w:br/>
      <w:r>
        <w:rPr/>
        <w:t xml:space="preserve">1. Цветовая гамма должна состоять не более чем из 2 цветов и выдержана во всей презентации.</w:t>
      </w:r>
      <w:br/>
      <w:r>
        <w:rPr/>
        <w:t xml:space="preserve">Основная цель – читаемость презентации;</w:t>
      </w:r>
      <w:br/>
      <w:r>
        <w:rPr/>
        <w:t xml:space="preserve">2. Желателен одноцветный фон неярких пастельных тонов (например, светло-зеленый, светло-синий,</w:t>
      </w:r>
      <w:br/>
      <w:r>
        <w:rPr/>
        <w:t xml:space="preserve">бежевый, светло-оранжевый и светло-желтый);</w:t>
      </w:r>
      <w:br/>
      <w:r>
        <w:rPr/>
        <w:t xml:space="preserve">3. Цвет шрифта и цвет фона должны контрастировать (текст должен хорошо читаться, белый текст на</w:t>
      </w:r>
      <w:br/>
      <w:r>
        <w:rPr/>
        <w:t xml:space="preserve">черном фоне читается плохо);</w:t>
      </w:r>
      <w:br/>
      <w:r>
        <w:rPr/>
        <w:t xml:space="preserve">4. Оформление презентации не должно отвлекать внимания от её содержания.</w:t>
      </w:r>
      <w:br/>
      <w:r>
        <w:rPr/>
        <w:t xml:space="preserve">Графическая информация:</w:t>
      </w:r>
      <w:br/>
      <w:r>
        <w:rPr/>
        <w:t xml:space="preserve">1. Рисунки, фотографии, диаграммы должны быть наглядными и нести смысловую нагрузку,</w:t>
      </w:r>
      <w:br/>
      <w:r>
        <w:rPr/>
        <w:t xml:space="preserve">сопровождаться названиями;</w:t>
      </w:r>
      <w:br/>
      <w:r>
        <w:rPr/>
        <w:t xml:space="preserve">2. Изображения (в формате jpg) лучше заранее обработать для уменьшения размера файла;</w:t>
      </w:r>
      <w:br/>
      <w:r>
        <w:rPr/>
        <w:t xml:space="preserve">3. Размер одного графического объекта – не более 1/2 размера слайда;</w:t>
      </w:r>
      <w:br/>
      <w:r>
        <w:rPr/>
        <w:t xml:space="preserve">4. Соотношение текст-картинки – 2/3 (текста меньше чем картинок).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</w:t>
      </w:r>
    </w:p>
    <w:p>
      <w:pPr/>
      <w:r>
        <w:rPr/>
        <w:t xml:space="preserve">Билеты к экзамену содержат следующие вопросы:</w:t>
      </w:r>
    </w:p>
    <w:p>
      <w:pPr>
        <w:numPr>
          <w:ilvl w:val="0"/>
          <w:numId w:val="1"/>
        </w:numPr>
      </w:pPr>
      <w:r>
        <w:rPr/>
        <w:t xml:space="preserve">Безопасность — основная потребность человека, общества и государства</w:t>
      </w:r>
    </w:p>
    <w:p>
      <w:pPr>
        <w:numPr>
          <w:ilvl w:val="0"/>
          <w:numId w:val="1"/>
        </w:numPr>
      </w:pPr>
      <w:r>
        <w:rPr/>
        <w:t xml:space="preserve">История развития систем безопасности</w:t>
      </w:r>
    </w:p>
    <w:p>
      <w:pPr>
        <w:numPr>
          <w:ilvl w:val="0"/>
          <w:numId w:val="1"/>
        </w:numPr>
      </w:pPr>
      <w:r>
        <w:rPr/>
        <w:t xml:space="preserve">Цель, предмет и задачи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Основные положения дисциплины «Безопасность жизнедеятельности».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как наука и учебная дисциплина</w:t>
      </w:r>
    </w:p>
    <w:p>
      <w:pPr>
        <w:numPr>
          <w:ilvl w:val="0"/>
          <w:numId w:val="1"/>
        </w:numPr>
      </w:pPr>
      <w:r>
        <w:rPr/>
        <w:t xml:space="preserve">Основные понятия в курсе «Безопасность жизнедеятельности»</w:t>
      </w:r>
    </w:p>
    <w:p>
      <w:pPr>
        <w:numPr>
          <w:ilvl w:val="0"/>
          <w:numId w:val="1"/>
        </w:numPr>
      </w:pPr>
      <w:r>
        <w:rPr/>
        <w:t xml:space="preserve">Опасности, их классификация</w:t>
      </w:r>
    </w:p>
    <w:p>
      <w:pPr>
        <w:numPr>
          <w:ilvl w:val="0"/>
          <w:numId w:val="1"/>
        </w:numPr>
      </w:pPr>
      <w:r>
        <w:rPr/>
        <w:t xml:space="preserve">Источники опасностей и причины их возникновения</w:t>
      </w:r>
    </w:p>
    <w:p>
      <w:pPr>
        <w:numPr>
          <w:ilvl w:val="0"/>
          <w:numId w:val="1"/>
        </w:numPr>
      </w:pPr>
      <w:r>
        <w:rPr/>
        <w:t xml:space="preserve">«Дерево причин» опасностей как система</w:t>
      </w:r>
    </w:p>
    <w:p>
      <w:pPr>
        <w:numPr>
          <w:ilvl w:val="0"/>
          <w:numId w:val="1"/>
        </w:numPr>
      </w:pPr>
      <w:r>
        <w:rPr/>
        <w:t xml:space="preserve">Опасные и вредные производственные факторы</w:t>
      </w:r>
    </w:p>
    <w:p>
      <w:pPr>
        <w:numPr>
          <w:ilvl w:val="0"/>
          <w:numId w:val="1"/>
        </w:numPr>
      </w:pPr>
      <w:r>
        <w:rPr/>
        <w:t xml:space="preserve">Экстремальные и чрезвычайные ситуации</w:t>
      </w:r>
    </w:p>
    <w:p>
      <w:pPr>
        <w:numPr>
          <w:ilvl w:val="0"/>
          <w:numId w:val="1"/>
        </w:numPr>
      </w:pPr>
      <w:r>
        <w:rPr/>
        <w:t xml:space="preserve">Классификация и виды ЧС</w:t>
      </w:r>
    </w:p>
    <w:p>
      <w:pPr>
        <w:numPr>
          <w:ilvl w:val="0"/>
          <w:numId w:val="1"/>
        </w:numPr>
      </w:pPr>
      <w:r>
        <w:rPr/>
        <w:t xml:space="preserve">Предупреждение и защита в чрезвычайных ситуациях</w:t>
      </w:r>
    </w:p>
    <w:p>
      <w:pPr>
        <w:numPr>
          <w:ilvl w:val="0"/>
          <w:numId w:val="1"/>
        </w:numPr>
      </w:pPr>
      <w:r>
        <w:rPr/>
        <w:t xml:space="preserve">Понятие и виды рисков.</w:t>
      </w:r>
    </w:p>
    <w:p>
      <w:pPr>
        <w:numPr>
          <w:ilvl w:val="0"/>
          <w:numId w:val="1"/>
        </w:numPr>
      </w:pPr>
      <w:r>
        <w:rPr/>
        <w:t xml:space="preserve">Концепция приемлемого (допустимого) риска</w:t>
      </w:r>
    </w:p>
    <w:p>
      <w:pPr>
        <w:numPr>
          <w:ilvl w:val="0"/>
          <w:numId w:val="1"/>
        </w:numPr>
      </w:pPr>
      <w:r>
        <w:rPr/>
        <w:t xml:space="preserve">Риск и безопасность. Управление рисками и прогнозирование</w:t>
      </w:r>
    </w:p>
    <w:p>
      <w:pPr>
        <w:numPr>
          <w:ilvl w:val="0"/>
          <w:numId w:val="1"/>
        </w:numPr>
      </w:pPr>
      <w:r>
        <w:rPr/>
        <w:t xml:space="preserve">Виды и системы безопасности</w:t>
      </w:r>
    </w:p>
    <w:p>
      <w:pPr>
        <w:numPr>
          <w:ilvl w:val="0"/>
          <w:numId w:val="1"/>
        </w:numPr>
      </w:pPr>
      <w:r>
        <w:rPr/>
        <w:t xml:space="preserve">Решение проблем безопасности в современных условиях</w:t>
      </w:r>
    </w:p>
    <w:p>
      <w:pPr>
        <w:numPr>
          <w:ilvl w:val="0"/>
          <w:numId w:val="1"/>
        </w:numPr>
      </w:pPr>
      <w:r>
        <w:rPr/>
        <w:t xml:space="preserve">Принципы и методы обеспечения безопасности</w:t>
      </w:r>
    </w:p>
    <w:p>
      <w:pPr>
        <w:numPr>
          <w:ilvl w:val="0"/>
          <w:numId w:val="1"/>
        </w:numPr>
      </w:pPr>
      <w:r>
        <w:rPr/>
        <w:t xml:space="preserve">Средства обеспечения безопасности</w:t>
      </w:r>
    </w:p>
    <w:p>
      <w:pPr>
        <w:numPr>
          <w:ilvl w:val="0"/>
          <w:numId w:val="1"/>
        </w:numPr>
      </w:pPr>
      <w:r>
        <w:rPr/>
        <w:t xml:space="preserve">Проектирование систем безопасности</w:t>
      </w:r>
    </w:p>
    <w:p>
      <w:pPr>
        <w:numPr>
          <w:ilvl w:val="0"/>
          <w:numId w:val="1"/>
        </w:numPr>
      </w:pPr>
      <w:r>
        <w:rPr/>
        <w:t xml:space="preserve">Человек и среда его обитания</w:t>
      </w:r>
    </w:p>
    <w:p>
      <w:pPr>
        <w:numPr>
          <w:ilvl w:val="0"/>
          <w:numId w:val="1"/>
        </w:numPr>
      </w:pPr>
      <w:r>
        <w:rPr/>
        <w:t xml:space="preserve">Безопасность в системе «природа – общество – человек». Диалектика взаимоотношений</w:t>
      </w:r>
    </w:p>
    <w:p>
      <w:pPr>
        <w:numPr>
          <w:ilvl w:val="0"/>
          <w:numId w:val="1"/>
        </w:numPr>
      </w:pPr>
      <w:r>
        <w:rPr/>
        <w:t xml:space="preserve">Адаптация организма к среде обитания. Адаптация и стресс</w:t>
      </w:r>
    </w:p>
    <w:p>
      <w:pPr>
        <w:numPr>
          <w:ilvl w:val="0"/>
          <w:numId w:val="1"/>
        </w:numPr>
      </w:pPr>
      <w:r>
        <w:rPr/>
        <w:t xml:space="preserve">Биологические ритмы организма как один из факторов взаимосвязи организма и среды</w:t>
      </w:r>
    </w:p>
    <w:p>
      <w:pPr>
        <w:numPr>
          <w:ilvl w:val="0"/>
          <w:numId w:val="1"/>
        </w:numPr>
      </w:pPr>
      <w:r>
        <w:rPr/>
        <w:t xml:space="preserve">Причины возникновения дестабилизирующих факторов современности. Превентивные меры</w:t>
      </w:r>
    </w:p>
    <w:p>
      <w:pPr>
        <w:numPr>
          <w:ilvl w:val="0"/>
          <w:numId w:val="1"/>
        </w:numPr>
      </w:pPr>
      <w:r>
        <w:rPr/>
        <w:t xml:space="preserve">Миграция как социальная проблема современности</w:t>
      </w:r>
    </w:p>
    <w:p>
      <w:pPr>
        <w:numPr>
          <w:ilvl w:val="0"/>
          <w:numId w:val="1"/>
        </w:numPr>
      </w:pPr>
      <w:r>
        <w:rPr/>
        <w:t xml:space="preserve">Демографическая ситуация в России как фактор опасности</w:t>
      </w:r>
    </w:p>
    <w:p>
      <w:pPr>
        <w:numPr>
          <w:ilvl w:val="0"/>
          <w:numId w:val="1"/>
        </w:numPr>
      </w:pPr>
      <w:r>
        <w:rPr/>
        <w:t xml:space="preserve">Здоровье населения как фактор личной и национальной безопасности страны</w:t>
      </w:r>
    </w:p>
    <w:p>
      <w:pPr>
        <w:numPr>
          <w:ilvl w:val="0"/>
          <w:numId w:val="1"/>
        </w:numPr>
      </w:pPr>
      <w:r>
        <w:rPr/>
        <w:t xml:space="preserve">Роль культуры безопасности для личности, общества, государства и цивилизации</w:t>
      </w:r>
    </w:p>
    <w:p>
      <w:pPr>
        <w:numPr>
          <w:ilvl w:val="0"/>
          <w:numId w:val="1"/>
        </w:numPr>
      </w:pPr>
      <w:r>
        <w:rPr/>
        <w:t xml:space="preserve">Безопасность, культура и нравственность</w:t>
      </w:r>
    </w:p>
    <w:p>
      <w:pPr>
        <w:numPr>
          <w:ilvl w:val="0"/>
          <w:numId w:val="1"/>
        </w:numPr>
      </w:pPr>
      <w:r>
        <w:rPr/>
        <w:t xml:space="preserve">Безопасность в сфере культуры, образования, науки</w:t>
      </w:r>
    </w:p>
    <w:p>
      <w:pPr>
        <w:numPr>
          <w:ilvl w:val="0"/>
          <w:numId w:val="1"/>
        </w:numPr>
      </w:pPr>
      <w:r>
        <w:rPr/>
        <w:t xml:space="preserve">Роль курсов БЖ и учителя в формировании культуры безопасности</w:t>
      </w:r>
    </w:p>
    <w:p>
      <w:pPr>
        <w:numPr>
          <w:ilvl w:val="0"/>
          <w:numId w:val="1"/>
        </w:numPr>
      </w:pPr>
      <w:r>
        <w:rPr/>
        <w:t xml:space="preserve">Формирование устойчивого положительного отношения к курсам БЖ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экзамену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/ под ред. Е.И. Холостовой, О.Г. Прохоровой. – Москва : Издательско-торговая корпорация «Дашков и К°», 2017. – 453 с. : табл.,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978-5-394-02026-1. – Текст : электронный.</w:t>
      </w:r>
    </w:p>
    <w:p>
      <w:pPr>
        <w:numPr>
          <w:ilvl w:val="0"/>
          <w:numId w:val="4"/>
        </w:numPr>
      </w:pPr>
      <w:r>
        <w:rPr/>
        <w:t xml:space="preserve">Плошкин, В.В. Безопасность жизнедеятельности / В.В.</w:t>
      </w:r>
      <w:r>
        <w:rPr/>
        <w:t xml:space="preserve">Плошкин. – Москва ; Берлин : Директ-Медиа, 2015. – Ч. 1. – 380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 (дата обращения: 24.09.2019). – </w:t>
      </w:r>
      <w:r>
        <w:rPr/>
        <w:t xml:space="preserve">ISBN</w:t>
      </w:r>
      <w:r>
        <w:rPr/>
        <w:t xml:space="preserve"> 978-5-4475-3694-7.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Л.Л. Безопасность жизнедеятельности / Л.Л.</w:t>
      </w:r>
      <w:r>
        <w:rPr/>
        <w:t xml:space="preserve">Никифоров, В.В.</w:t>
      </w:r>
      <w:r>
        <w:rPr/>
        <w:t xml:space="preserve"> </w:t>
      </w:r>
      <w:r>
        <w:rPr/>
        <w:t xml:space="preserve">Персиянов. – Москва : Издательско-торговая корпорация «Дашков и К°», 2017. – 494 с. : граф., табл., схем.,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http://biblioclub.ru/index.php?page=book&amp;id=452583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978-5-394-01354-6. – Текст : электронный.</w:t>
      </w:r>
    </w:p>
    <w:p>
      <w:pPr>
        <w:numPr>
          <w:ilvl w:val="0"/>
          <w:numId w:val="5"/>
        </w:numPr>
      </w:pPr>
      <w:r>
        <w:rPr/>
        <w:t xml:space="preserve">Маслова, Л.Ф. Безопасность жизнедеятельности :[16+] / Л.Ф.</w:t>
      </w:r>
      <w:r>
        <w:rPr/>
        <w:t xml:space="preserve">Маслова ; ФГБОУ ВПО «Ставоропольский государственный аграрный университет». – Ставрополь : Ставропольский государственный аграрный университет, 2014. – 87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http://biblioclub.ru/index.php?page=book&amp;id=277462</w:t>
        </w:r>
      </w:hyperlink>
      <w:r>
        <w:rPr/>
        <w:t xml:space="preserve"> (дата обращения: 24.09.2019). – Библиогр. в кн. – Текст : электронный.</w:t>
      </w:r>
    </w:p>
    <w:p>
      <w:pPr>
        <w:numPr>
          <w:ilvl w:val="0"/>
          <w:numId w:val="5"/>
        </w:numPr>
      </w:pPr>
      <w:r>
        <w:rPr/>
        <w:t xml:space="preserve">Екимова, И.А. Безопасность жизнедеятельности :[16+] / И.А.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– Томск : Эль Контент, 2012. – 192 с. : табл., схем.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 (дата обращения: 24.09.2019). – Библиогр.: с. 187-188. – </w:t>
      </w:r>
      <w:r>
        <w:rPr/>
        <w:t xml:space="preserve">ISBN</w:t>
      </w:r>
      <w:r>
        <w:rPr/>
        <w:t xml:space="preserve"> 978-5-4332-0031-9.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Программноеобеспечение: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B2C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FE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62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BC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21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09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452583" TargetMode="External"/><Relationship Id="rId10" Type="http://schemas.openxmlformats.org/officeDocument/2006/relationships/hyperlink" Target="http://biblioclub.ru/index.php?page=book&amp;id=277462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