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ПРАКТИКА: ПРАКТИКА ПО ПОЛУЧЕНИЮ ПЕРВИЧНЫХ ПРОФЕССИОНАЛЬНЫХ УМЕНИЙ И НАВЫКОВ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Технологическая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Получению первичных профессиональных умений и навыков заместителя директора по безопасности школы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1. Ознакомление со спецификой работы заместителя директора по безопасности школы</w:t>
      </w:r>
    </w:p>
    <w:p>
      <w:pPr/>
      <w:r>
        <w:rPr/>
        <w:t xml:space="preserve">2. Организация и осуществление работы по созданию безопасных условий образовательной деятельности, обеспечивающих сохранение жизни и здоровья обучающихся и сотрудников общеобразовательного учреждения;</w:t>
      </w:r>
    </w:p>
    <w:p>
      <w:pPr/>
      <w:r>
        <w:rPr/>
        <w:t xml:space="preserve">3. Регулирование деятельности всех заинтересованных служб по организации комплексной безопасности учебного заведения от угроз социального, технического и природного воздействия. Организация и исполнение взаимодействия с (городской) районной антитеррористической комиссией, территориальными правоохранительными органами, формированием ГО и ЧС, службой санитарного государственного контроля, военным комиссариатом.</w:t>
      </w:r>
    </w:p>
    <w:p>
      <w:pPr/>
      <w:r>
        <w:rPr/>
        <w:t xml:space="preserve">4. Организация и обеспечение защиты учащихся и сотрудников школы от чрезвычайных (кризисных) ситуаций, технической укрепленности и антитеррористической защищенности объектов общеобразовательного учреждения, функционирования охраны, контрольно-пропускного и внутриобъектового режима организации, а также разработки паспорта комплексной безопасности и антитеррористической защищенности школы;</w:t>
      </w:r>
    </w:p>
    <w:p>
      <w:pPr/>
      <w:r>
        <w:rPr/>
        <w:t xml:space="preserve">5. Руководство и координация деятельности структурных подразделений школы при выполнении задач гражданской обороны, предупреждения и ликвидации чрезвычайных ситуаций, пожарной безопасности, охране труда, предупреждения травматизма и соблюдения внутреннего режима в общеобразовательном учреждении;</w:t>
      </w:r>
    </w:p>
    <w:p>
      <w:pPr/>
      <w:r>
        <w:rPr/>
        <w:t xml:space="preserve">6. Разработка и обеспечение проведения мероприятий по охране труда и безопасности образовательного процесса, антитеррористической защищенности школы, гражданской обороне и противопожарной безопасности, поддержанию дисциплины.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 проведения практики: стационарная</w:t>
      </w:r>
    </w:p>
    <w:p>
      <w:pPr/>
      <w:r>
        <w:rPr/>
        <w:t xml:space="preserve">Форма проведения практики: дискретная</w:t>
      </w:r>
    </w:p>
    <w:p>
      <w:pPr/>
      <w:r>
        <w:rPr/>
        <w:t xml:space="preserve">Место проведения практики: г. Петрозаводск</w:t>
      </w:r>
    </w:p>
    <w:p>
      <w:pPr/>
      <w:r>
        <w:rPr/>
        <w:t xml:space="preserve">Учебная практика проводится структурным подразделением ПетрГУ - кафедрой безопасности жизнедеятельности ИФКСиТ, кафедрой теории и методики физического воспитания ИФКСиТ, а также в ОУ г. Петрозаводска (в соответствии с договором)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теоретические знания и практические умения и навыки в предметной области безопасности жизнедеятельности и физической культуры для постановки и решения профессиональных задач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Знать теоретические и практические аспекты, формы и методы обучения, нормативно-правовую базу регламентирующую организацию образовательного процесса в предметной области безопасности жизнедеятельности и физической культуры;
ПК-1.2. Уметь планировать и осуществлять учебный процесс в соответствии с нормативно-правовой документацией, возрастными психологическими и физиологическими особенностями личности, а также с учетом современных информационных технологий и методик обучения в рамках предметной области безопасность жизнедеятельности и физическая культура;
ПК-1.3.  Осуществлять воспитательную деятельность с учетом культурных различий детей, половозрастных и индивидуальных особенностей;
ПК-1.4. Применять современные образовательные технологии, включая информационные, а также цифровые образовательные ресурсы.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практика: практика по получению первичных профессиональных умений и навыков"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9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3 зач. ед.</w:t>
      </w:r>
      <w:br/>
      <w:r>
        <w:rPr/>
        <w:t xml:space="preserve">Продолжительность практики 2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со спецификой работы заместителя директора по безопасности в школе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должностной инструкции заместителя директора по безопасности в школе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осуществление работы по созданию безопасных условий образовательной деятельности, обеспечивающих сохранение жизни и здоровья обучающихся и сотрудников общеобразовательного учреждения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Регулирование деятельности всех заинтересованных служб по организации комплексной безопасности учебного заведения от угроз социального, технического и природного воздействия. Организация и исполнение взаимодействия с (городской) районной антитеррористической комиссией, территориальными правоохранительными органами, формированием ГО и ЧС, службой санитарного государственного контроля, военным комиссариатом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обеспечение защиты учащихся и сотрудников школы от чрезвычайных (кризисных) ситуаций, технической укрепленности и антитеррористической защищенности объектов общеобразовательного учреждения, функционирования охраны, контрольно-пропускного и внутриобъектового режима организации, а также разработки паспорта комплексной безопасности и антитеррористической защищенности школы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Руководство и координация деятельности структурных подразделений школы при выполнении задач гражданской обороны, предупреждения и ликвидации чрезвычайных ситуаций, пожарной безопасности, охране труда, предупреждения травматизма и соблюдения внутреннего режима в общеобразовательном учреждении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и обеспечение проведения мероприятий по охране труда и безопасности образовательного процесса, антитеррористической защищенности школы, гражданской обороне и противопожарной безопасности, поддержанию дисциплины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- информационные коммуникативные технологии (интерактивная доска, персональные компьютеры, работа в сети </w:t>
      </w:r>
      <w:r>
        <w:rPr/>
        <w:t xml:space="preserve">Internet</w:t>
      </w:r>
      <w:r>
        <w:rPr/>
        <w:t xml:space="preserve">);</w:t>
      </w:r>
    </w:p>
    <w:p>
      <w:pPr/>
      <w:r>
        <w:rPr/>
        <w:t xml:space="preserve">- технология интерактивного обучения (решение ситуационных  задач);</w:t>
      </w:r>
    </w:p>
    <w:p>
      <w:pPr/>
      <w:r>
        <w:rPr/>
        <w:t xml:space="preserve">- визуальные технические средства обучения (обучающие фильмы);</w:t>
      </w:r>
    </w:p>
    <w:p>
      <w:pPr/>
      <w:r>
        <w:rPr/>
        <w:t xml:space="preserve">- проблемное обучение через поисковую, исследовательскую деятельность;</w:t>
      </w:r>
    </w:p>
    <w:p>
      <w:pPr/>
      <w:r>
        <w:rPr/>
        <w:t xml:space="preserve">- практико-ориентированные технологии и комплексы подготовительных упражнений.</w:t>
      </w:r>
    </w:p>
    <w:p>
      <w:pPr/>
      <w:r>
        <w:rPr/>
        <w:t xml:space="preserve">- экскурсии;</w:t>
      </w:r>
    </w:p>
    <w:p>
      <w:pPr/>
      <w:r>
        <w:rPr/>
        <w:t xml:space="preserve">- мастер-классы;</w:t>
      </w:r>
    </w:p>
    <w:p>
      <w:pPr/>
      <w:r>
        <w:rPr/>
        <w:t xml:space="preserve">- самостоятельная работа студента;</w:t>
      </w:r>
    </w:p>
    <w:p>
      <w:pPr/>
      <w:r>
        <w:rPr/>
        <w:t xml:space="preserve">- консультации;</w:t>
      </w:r>
    </w:p>
    <w:p>
      <w:pPr/>
      <w:r>
        <w:rPr/>
        <w:t xml:space="preserve">- работа с документами, нормативно-правовыми документами образовательных организаций в вопросах безопасности.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На установочной конференции обучающимся сообщается перечень заданий в рамках учебной практики: практики по получению первичных профессиональных умений и навыков, ее цель и задачи. В рамках прохождения практики обучающийся обязан выполнить все предусмотренные рабочей программой практики практические задания, реализуемые по месту прохождения практики.</w:t>
      </w:r>
    </w:p>
    <w:p>
      <w:pPr/>
      <w:r>
        <w:rPr/>
        <w:t xml:space="preserve">В ходе освоения программы практики студенты выполняют виды работ:</w:t>
      </w:r>
    </w:p>
    <w:p>
      <w:pPr>
        <w:numPr>
          <w:ilvl w:val="0"/>
          <w:numId w:val="1"/>
        </w:numPr>
      </w:pPr>
      <w:r>
        <w:rPr/>
        <w:t xml:space="preserve">Приобретают специальные умения и навыки заместителя директора по безопасности ОУ;</w:t>
      </w:r>
    </w:p>
    <w:p>
      <w:pPr>
        <w:numPr>
          <w:ilvl w:val="0"/>
          <w:numId w:val="1"/>
        </w:numPr>
      </w:pPr>
      <w:r>
        <w:rPr/>
        <w:t xml:space="preserve">Наблюдают и анализируют организацию работы заместителя директора по безопасности ОУ, интерпретируют полученные результаты;</w:t>
      </w:r>
    </w:p>
    <w:p>
      <w:pPr>
        <w:numPr>
          <w:ilvl w:val="0"/>
          <w:numId w:val="1"/>
        </w:numPr>
      </w:pPr>
      <w:r>
        <w:rPr/>
        <w:t xml:space="preserve">Осуществляют анализ методической литературы, участвуют в организации и проведении мероприятий по безопасности в образовательных учреждениях;</w:t>
      </w:r>
    </w:p>
    <w:p>
      <w:pPr>
        <w:numPr>
          <w:ilvl w:val="0"/>
          <w:numId w:val="1"/>
        </w:numPr>
      </w:pPr>
      <w:r>
        <w:rPr/>
        <w:t xml:space="preserve">Отрабатывают полученные умения и навыки;</w:t>
      </w:r>
    </w:p>
    <w:p>
      <w:pPr>
        <w:numPr>
          <w:ilvl w:val="0"/>
          <w:numId w:val="1"/>
        </w:numPr>
      </w:pPr>
      <w:r>
        <w:rPr/>
        <w:t xml:space="preserve">Ведут документацию по практике, готовят отчет по практике, оформляют разработки мероприятий.</w:t>
      </w:r>
    </w:p>
    <w:p>
      <w:pPr/>
      <w:r>
        <w:rPr/>
        <w:t xml:space="preserve">В случае возникновения у обучающегося вопросов, он обращается к руководителю учебной практики (ознакомительной).</w:t>
      </w:r>
    </w:p>
    <w:p>
      <w:pPr/>
      <w:r>
        <w:rPr/>
        <w:t xml:space="preserve">Самостоятельная работа студента включает в себя: подготовку к прохождению практики; выполнение задания по практике; оформление отчета по учебной практике (ознакомительной).</w:t>
      </w:r>
    </w:p>
    <w:p>
      <w:pPr/>
      <w:r>
        <w:rPr/>
        <w:t xml:space="preserve">Особое внимание следует уделить отчету по итогам прохождения практики. Отчет выполняется в программе Word (шрифт Times New Roman, размер шрифта 12, межстрочный интервал 1,5, выравнивание текста по ширине) по установленной форме. Отчет об учебной практике (ознакомительной) является основным документом, отражающим объем и качество выполненной студентом работы, полученные им знания и умения. Отчет должен содержать информацию, отображенную в целях и задачах практики. Отчет рекомендуется составлять равномерно в течение всего периода практики. При его подготовке следует стремиться к четкому изложению и логической последовательности материалов, обоснованности выводов и предложений, краткости и точности приводимых формулировок, качественному оформлению текста и иллюстраций.</w:t>
      </w:r>
    </w:p>
    <w:p>
      <w:pPr/>
      <w:r>
        <w:rPr/>
        <w:t xml:space="preserve">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конспект.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Конспект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/>
      <w:r>
        <w:rPr/>
        <w:t xml:space="preserve">1. </w:t>
      </w:r>
      <w:r>
        <w:rPr/>
        <w:t xml:space="preserve">Обеспечение безопасности образовательного учреждения [Текст]: практическое пособие для руководителей и работников образовательных учреждений / С. В. Петров. - М.: Изд-во НЦ ЭНАС, 2006, 243 с.</w:t>
      </w:r>
    </w:p>
    <w:p>
      <w:pPr/>
      <w:r>
        <w:rPr/>
        <w:t xml:space="preserve">2. </w:t>
      </w:r>
      <w:r>
        <w:rPr/>
        <w:t xml:space="preserve">Обеспечение безопасности образовательного учреждения [Текст] : учебное пособие. Варавка Ю.В. – Ярославль: Изд-во ЯГПУ, 2009. – 190 с.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Попов, В.М. Пожарная безопасность образовательного учреждения / В.М. Попов. – Новосибирск : НГТУ, 2011. – 91 с. – Режим доступа: по подписке. – URL: </w:t>
      </w:r>
      <w:hyperlink r:id="rId7" w:history="1">
        <w:r>
          <w:rPr/>
          <w:t xml:space="preserve">http://biblioclub.ru/index.php?page=book&amp;id=228980</w:t>
        </w:r>
      </w:hyperlink>
      <w:r>
        <w:rPr/>
        <w:t xml:space="preserve">(дата обращения: 22.09.2019). – ISBN 978-5-7782-1730-0. – Текст : электронный.</w:t>
      </w:r>
    </w:p>
    <w:p>
      <w:pPr>
        <w:numPr>
          <w:ilvl w:val="0"/>
          <w:numId w:val="2"/>
        </w:numPr>
      </w:pPr>
      <w:r>
        <w:rPr/>
        <w:t xml:space="preserve">Махов, С.Ю. Аналитика безопасности / С.Ю. Махов ; Межрегиональная Академия безопасности и выживания. – Орел : МАБИВ, 2013. – 253 с. : табл., схем. – Режим доступа: по подписке. – URL: </w:t>
      </w:r>
      <w:hyperlink r:id="rId8" w:history="1">
        <w:r>
          <w:rPr/>
          <w:t xml:space="preserve">http://biblioclub.ru/index.php?page=book&amp;id=428623</w:t>
        </w:r>
      </w:hyperlink>
      <w:r>
        <w:rPr/>
        <w:t xml:space="preserve">(дата обращения: 22.09.2019). – Библиогр. в кн. – Текст : электронный.</w:t>
      </w:r>
    </w:p>
    <w:p>
      <w:pPr>
        <w:numPr>
          <w:ilvl w:val="0"/>
          <w:numId w:val="2"/>
        </w:numPr>
      </w:pPr>
      <w:r>
        <w:rPr/>
        <w:t xml:space="preserve">Шрага, М.Х. Социальная безопасность (безопасность жизнедеятельности людей) / М.Х. Шрага, Л.И. Кудря ; Министерство образования и науки Российской Федерации, Федеральное государственное автономное образовательное учреждение высшего профессионального образования Северный (Арктический) федеральный университет им. М.В. Ломоносова. – Архангельск : ИД САФУ, 2014. – 280 с. : ил. – Режим доступа: по подписке. – URL: </w:t>
      </w:r>
      <w:hyperlink r:id="rId9" w:history="1">
        <w:r>
          <w:rPr/>
          <w:t xml:space="preserve">http://biblioclub.ru/index.php?page=book&amp;id=436413</w:t>
        </w:r>
      </w:hyperlink>
      <w:r>
        <w:rPr/>
        <w:t xml:space="preserve">(дата обращения: 22.09.2019). – Библиогр. в кн. – ISBN 978-5-261-00882-8. – Текст : электронный.</w:t>
      </w:r>
    </w:p>
    <w:p>
      <w:pPr>
        <w:numPr>
          <w:ilvl w:val="0"/>
          <w:numId w:val="2"/>
        </w:numPr>
      </w:pPr>
      <w:r>
        <w:rPr/>
        <w:t xml:space="preserve">Организация деятельности служб и подразделений полиции по охране общественного порядка и обеспечению общественной безопасности / ред. В.В. Гордиенко. – Москва : Юнити-Дана, 2015. – 463 с. – Режим доступа: по подписке. – URL: </w:t>
      </w:r>
      <w:hyperlink r:id="rId10" w:history="1">
        <w:r>
          <w:rPr/>
          <w:t xml:space="preserve">http://biblioclub.ru/index.php?page=book&amp;id=119515</w:t>
        </w:r>
      </w:hyperlink>
      <w:r>
        <w:rPr/>
        <w:t xml:space="preserve">(дата обращения: 22.09.2019). – Библиогр. в кн. – ISBN 978-5-238-02364-9. – Текст : электронный.</w:t>
      </w:r>
    </w:p>
    <w:p>
      <w:pPr>
        <w:numPr>
          <w:ilvl w:val="0"/>
          <w:numId w:val="2"/>
        </w:numPr>
      </w:pPr>
      <w:r>
        <w:rPr/>
        <w:t xml:space="preserve">Куклев, В.А. Основы безопасности труда / В.А. Куклев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"Ульяновский государственный технический университет", Институт дистанционного и дополнительного образования. – 2-е издание, дополненное и переработанное. – Ульяновск : УлГТУ, 2013. – 221 с. : ил., табл., схем . – Режим доступа: по подписке. – URL: </w:t>
      </w:r>
      <w:hyperlink r:id="rId11" w:history="1">
        <w:r>
          <w:rPr/>
          <w:t xml:space="preserve">http://biblioclub.ru/index.php?page=book&amp;id=363483</w:t>
        </w:r>
      </w:hyperlink>
      <w:r>
        <w:rPr/>
        <w:t xml:space="preserve">(дата обращения: 22.09.2019). – Библиогр. в кн. – ISBN 978-5-9795-1139-9. – Текст : электронный.</w:t>
      </w:r>
    </w:p>
    <w:p>
      <w:pPr>
        <w:numPr>
          <w:ilvl w:val="0"/>
          <w:numId w:val="2"/>
        </w:numPr>
      </w:pPr>
      <w:r>
        <w:rPr/>
        <w:t xml:space="preserve">РАЗРАБОТКА ПРЕДЛОЖЕНИЙ ПО СОВЕРШЕНСТВОВАНИЮ СИСТЕМ ПОЖАРОТУШЕНИЯ ОБРАЗОВАТЕЛЬНОГО УЧРЕЖДЕНИЯ НА ПРИМЕРЕ СОШ№6 Г.РАМЕНСКОЕ: СТУДЕНЧЕСКАЯ НАУЧНАЯ РАБОТА, 2020, Макарова И. С., б.и.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3"/>
        </w:numPr>
      </w:pPr>
      <w:r>
        <w:rPr/>
        <w:t xml:space="preserve">Пакет для просмотра и печати документов AdobeAcrobatReader</w:t>
      </w:r>
    </w:p>
    <w:p>
      <w:pPr>
        <w:numPr>
          <w:ilvl w:val="0"/>
          <w:numId w:val="3"/>
        </w:numPr>
      </w:pPr>
      <w:r>
        <w:rPr/>
        <w:t xml:space="preserve">Средства поиска информации в глобальной сети Интернет и веб-пространстве: MSInternet Explorer, MozillaFirefox, Opera и др.</w:t>
      </w:r>
    </w:p>
    <w:p>
      <w:pPr/>
      <w:r>
        <w:rPr>
          <w:b w:val="1"/>
          <w:bCs w:val="1"/>
          <w:i w:val="1"/>
          <w:iCs w:val="1"/>
        </w:rPr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Программное обеспечение:</w:t>
      </w:r>
    </w:p>
    <w:p>
      <w:pPr/>
      <w:r>
        <w:rPr>
          <w:i w:val="1"/>
          <w:iCs w:val="1"/>
        </w:rPr>
        <w:t xml:space="preserve">ОС</w:t>
      </w:r>
      <w:r>
        <w:rPr>
          <w:i w:val="1"/>
          <w:iCs w:val="1"/>
        </w:rPr>
        <w:t xml:space="preserve">: </w:t>
      </w:r>
      <w:r>
        <w:rPr/>
        <w:t xml:space="preserve">Windows 7, Windows 10, Windows XP</w:t>
      </w:r>
    </w:p>
    <w:p>
      <w:pPr/>
      <w:r>
        <w:rPr>
          <w:i w:val="1"/>
          <w:iCs w:val="1"/>
        </w:rPr>
        <w:t xml:space="preserve">Офисныйпакет</w:t>
      </w:r>
      <w:r>
        <w:rPr>
          <w:i w:val="1"/>
          <w:iCs w:val="1"/>
        </w:rPr>
        <w:t xml:space="preserve">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/>
      <w:r>
        <w:rPr>
          <w:i w:val="1"/>
          <w:iCs w:val="1"/>
        </w:rPr>
        <w:t xml:space="preserve">Браузеры</w:t>
      </w:r>
      <w:r>
        <w:rPr>
          <w:i w:val="1"/>
          <w:iCs w:val="1"/>
        </w:rPr>
        <w:t xml:space="preserve">: </w:t>
      </w:r>
      <w:r>
        <w:rPr/>
        <w:t xml:space="preserve">Opera, Mozilla, Chrome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Интернет</w:t>
      </w:r>
      <w:r>
        <w:rPr>
          <w:b w:val="1"/>
          <w:bCs w:val="1"/>
          <w:i w:val="1"/>
          <w:iCs w:val="1"/>
        </w:rPr>
        <w:t xml:space="preserve">-</w:t>
      </w:r>
      <w:r>
        <w:rPr>
          <w:b w:val="1"/>
          <w:bCs w:val="1"/>
          <w:i w:val="1"/>
          <w:iCs w:val="1"/>
        </w:rPr>
        <w:t xml:space="preserve">ресурсы</w:t>
      </w:r>
      <w:r>
        <w:rPr>
          <w:b w:val="1"/>
          <w:bCs w:val="1"/>
          <w:i w:val="1"/>
          <w:iCs w:val="1"/>
        </w:rPr>
        <w:t xml:space="preserve">:</w:t>
      </w:r>
    </w:p>
    <w:p>
      <w:pPr/>
      <w:r>
        <w:rPr/>
        <w:t xml:space="preserve">МЧС России </w:t>
      </w:r>
      <w:hyperlink r:id="rId12" w:history="1">
        <w:r>
          <w:rPr/>
          <w:t xml:space="preserve">http://www.mchs.gov.ru/</w:t>
        </w:r>
      </w:hyperlink>
    </w:p>
    <w:p>
      <w:pPr/>
      <w:r>
        <w:rPr/>
        <w:t xml:space="preserve">Единая государственная система предупреждения и ликвидации ЧС. </w:t>
      </w:r>
      <w:hyperlink r:id="rId13" w:history="1">
        <w:r>
          <w:rPr/>
          <w:t xml:space="preserve">http://www.grandars.ru/shkola/bezopasnost-zhiznedeyatelnosti/rschs.html</w:t>
        </w:r>
      </w:hyperlink>
    </w:p>
    <w:p>
      <w:pPr/>
      <w:r>
        <w:rPr/>
        <w:t xml:space="preserve">Структура РСЧС и ГО </w:t>
      </w:r>
      <w:hyperlink r:id="rId14" w:history="1">
        <w:r>
          <w:rPr/>
          <w:t xml:space="preserve">http://mchs-orel.ru/struktura-rschs-i-go/</w:t>
        </w:r>
      </w:hyperlink>
    </w:p>
    <w:p>
      <w:pPr/>
      <w:r>
        <w:rPr/>
        <w:t xml:space="preserve">Постановление Правительства РФ «О создании единой государственной системы предупреждения и ликвидации чрезвычайных ситуаций» № 1113 от 5.11.1995. </w:t>
      </w:r>
      <w:hyperlink r:id="rId15" w:history="1">
        <w:r>
          <w:rPr/>
          <w:t xml:space="preserve">http://old.nasledie.ru/politvnt/19_32/article.php?art=5</w:t>
        </w:r>
      </w:hyperlink>
    </w:p>
    <w:p>
      <w:pPr/>
      <w:r>
        <w:rPr/>
        <w:t xml:space="preserve">Указ Президента Российской Федерации от 5 февраля 2010 г. N 146 "О Военной доктрине Российской Федерации" </w:t>
      </w:r>
      <w:r>
        <w:rPr>
          <w:u w:val="single"/>
        </w:rPr>
        <w:t xml:space="preserve">http://www.rg.ru/2010/02/10/doktrina-dok.html - comments</w:t>
      </w:r>
    </w:p>
    <w:p>
      <w:pPr/>
      <w:r>
        <w:rPr/>
        <w:t xml:space="preserve">Федеральный закон от 12 февраля 1998 г. N 28-ФЗ "О гражданской обороне" (с изменениями и дополнениями  </w:t>
      </w:r>
      <w:hyperlink r:id="rId16" w:history="1">
        <w:r>
          <w:rPr/>
          <w:t xml:space="preserve">http://base.garant.ru/178160/#ixzz3119j36lI</w:t>
        </w:r>
      </w:hyperlink>
    </w:p>
    <w:p>
      <w:pPr/>
      <w:r>
        <w:rPr/>
        <w:t xml:space="preserve">Материал об истории Гражданской обороны и ее современном состоянии  </w:t>
      </w:r>
      <w:hyperlink r:id="rId17" w:history="1">
        <w:r>
          <w:rPr/>
          <w:t xml:space="preserve">http://www.uprava-hamovniki.ru/press-center/national_project/detail.php?ID=7712</w:t>
        </w:r>
      </w:hyperlink>
    </w:p>
    <w:p>
      <w:pPr/>
      <w:r>
        <w:rPr/>
        <w:t xml:space="preserve">Гражданской обороне России-75 лет </w:t>
      </w:r>
      <w:hyperlink r:id="rId18" w:history="1">
        <w:r>
          <w:rPr/>
          <w:t xml:space="preserve">http://www.volgograd.ru/theme/info/vov/127387.pub</w:t>
        </w:r>
      </w:hyperlink>
    </w:p>
    <w:p>
      <w:pPr/>
      <w:r>
        <w:rPr/>
        <w:t xml:space="preserve">Федеральный закон о защите населения и территорий от ЧС природного и техногенного характера. </w:t>
      </w:r>
      <w:hyperlink r:id="rId19" w:history="1">
        <w:r>
          <w:rPr/>
          <w:t xml:space="preserve">http://base.garant.ru/10107960/</w:t>
        </w:r>
      </w:hyperlink>
    </w:p>
    <w:p>
      <w:pPr/>
      <w:r>
        <w:rPr/>
        <w:t xml:space="preserve">Федеральный закон о пожарной безопасности. </w:t>
      </w:r>
      <w:hyperlink r:id="rId20" w:history="1">
        <w:r>
          <w:rPr/>
          <w:t xml:space="preserve">http://base.consultant.ru/cons/cgi/online.cgi?req=doc;base=LAW;n=160102</w:t>
        </w:r>
      </w:hyperlink>
    </w:p>
    <w:p>
      <w:pPr/>
      <w:r>
        <w:rPr/>
        <w:t xml:space="preserve">Федеральный закон об охране окружающей среды. </w:t>
      </w:r>
      <w:hyperlink r:id="rId21" w:history="1">
        <w:r>
          <w:rPr/>
          <w:t xml:space="preserve">http://base.consultant.ru/cons/cgi/online.cgi?req=doc;base=LAW;n=160139</w:t>
        </w:r>
      </w:hyperlink>
    </w:p>
    <w:p>
      <w:pPr/>
      <w:r>
        <w:rPr/>
        <w:t xml:space="preserve">Трудовой кодекс РФ. </w:t>
      </w:r>
      <w:hyperlink r:id="rId22" w:history="1">
        <w:r>
          <w:rPr/>
          <w:t xml:space="preserve">http://www.rg.ru/2001/12/31/trud-dok.html</w:t>
        </w:r>
      </w:hyperlink>
    </w:p>
    <w:p>
      <w:pPr/>
      <w:r>
        <w:rPr/>
        <w:t xml:space="preserve">Федеральное агентство по техническому регулированию  и метрологии Технический регламент Таможенного союза "О безопасности средств индивидуальной защиты" (ТР ТС - 019 - 2011) </w:t>
      </w:r>
      <w:hyperlink r:id="rId23" w:history="1">
        <w:r>
          <w:rPr/>
          <w:t xml:space="preserve">https://www.gost.ru/portal/gost//home/standarts/technicalregulationses</w:t>
        </w:r>
      </w:hyperlink>
    </w:p>
    <w:p>
      <w:pPr/>
      <w:r>
        <w:rPr/>
        <w:t xml:space="preserve">Федеральное агентство по техническому регулированию  и метрологии Технический регламент Таможенного союза "О безопасности оборудования, работающего под избыточным давлением" (ТР ТС - 032 - 2013) </w:t>
      </w:r>
      <w:hyperlink r:id="rId23" w:history="1">
        <w:r>
          <w:rPr/>
          <w:t xml:space="preserve">https://www.gost.ru/portal/gost//home/standarts/technicalregulationses</w:t>
        </w:r>
      </w:hyperlink>
    </w:p>
    <w:p>
      <w:pPr/>
      <w:r>
        <w:rPr/>
        <w:t xml:space="preserve">Федеральное агентство по техническому регулированию  и метрологии Технический регламент о требованиях пожарной безопасности </w:t>
      </w:r>
      <w:hyperlink r:id="rId23" w:history="1">
        <w:r>
          <w:rPr/>
          <w:t xml:space="preserve">https://www.gost.ru/portal/gost//home/standarts/technicalregulationses</w:t>
        </w:r>
      </w:hyperlink>
    </w:p>
    <w:p>
      <w:pPr/>
      <w:r>
        <w:rPr/>
        <w:t xml:space="preserve">База данных Федеральной службы государственной статистики Природные ресурсы и охрана окружающей среды  </w:t>
      </w:r>
      <w:hyperlink r:id="rId24" w:history="1">
        <w:r>
          <w:rPr/>
          <w:t xml:space="preserve">http://cbsd.gks.ru/</w:t>
        </w:r>
      </w:hyperlink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Электронное (дистанционное) обучение по дисциплине может осуществляться с помощью: Skype, Zoom и других каналов связи; с учетом, что технические характеристики компьютеров 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/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/>
      <w:r>
        <w:rPr/>
        <w:t xml:space="preserve">Для проведения учебных занятий, текущего контроля, промежуточной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/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/>
      <w:r>
        <w:rPr/>
        <w:t xml:space="preserve"> - в режиме видеоконференцсвязи;</w:t>
      </w:r>
    </w:p>
    <w:p>
      <w:pPr/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FB66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201F2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58DF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228980" TargetMode="External"/><Relationship Id="rId8" Type="http://schemas.openxmlformats.org/officeDocument/2006/relationships/hyperlink" Target="http://biblioclub.ru/index.php?page=book&amp;id=428623" TargetMode="External"/><Relationship Id="rId9" Type="http://schemas.openxmlformats.org/officeDocument/2006/relationships/hyperlink" Target="http://biblioclub.ru/index.php?page=book&amp;id=436413" TargetMode="External"/><Relationship Id="rId10" Type="http://schemas.openxmlformats.org/officeDocument/2006/relationships/hyperlink" Target="http://biblioclub.ru/index.php?page=book&amp;id=119515" TargetMode="External"/><Relationship Id="rId11" Type="http://schemas.openxmlformats.org/officeDocument/2006/relationships/hyperlink" Target="http://biblioclub.ru/index.php?page=book&amp;id=363483" TargetMode="External"/><Relationship Id="rId12" Type="http://schemas.openxmlformats.org/officeDocument/2006/relationships/hyperlink" Target="http://www.mchs.gov.ru/" TargetMode="External"/><Relationship Id="rId13" Type="http://schemas.openxmlformats.org/officeDocument/2006/relationships/hyperlink" Target="http://www.grandars.ru/shkola/bezopasnost-zhiznedeyatelnosti/rschs.html" TargetMode="External"/><Relationship Id="rId14" Type="http://schemas.openxmlformats.org/officeDocument/2006/relationships/hyperlink" Target="http://mchs-orel.ru/struktura-rschs-i-go/" TargetMode="External"/><Relationship Id="rId15" Type="http://schemas.openxmlformats.org/officeDocument/2006/relationships/hyperlink" Target="http://old.nasledie.ru/politvnt/19_32/article.php?art=5" TargetMode="External"/><Relationship Id="rId16" Type="http://schemas.openxmlformats.org/officeDocument/2006/relationships/hyperlink" Target="http://base.garant.ru/178160/#ixzz3119j36lI" TargetMode="External"/><Relationship Id="rId17" Type="http://schemas.openxmlformats.org/officeDocument/2006/relationships/hyperlink" Target="http://www.uprava-hamovniki.ru/press-center/national_project/detail.php?ID=7712" TargetMode="External"/><Relationship Id="rId18" Type="http://schemas.openxmlformats.org/officeDocument/2006/relationships/hyperlink" Target="http://www.volgograd.ru/theme/info/vov/127387.pub" TargetMode="External"/><Relationship Id="rId19" Type="http://schemas.openxmlformats.org/officeDocument/2006/relationships/hyperlink" Target="http://base.garant.ru/10107960/" TargetMode="External"/><Relationship Id="rId20" Type="http://schemas.openxmlformats.org/officeDocument/2006/relationships/hyperlink" Target="http://base.consultant.ru/cons/cgi/online.cgi?req=doc;base=LAW;n=160102" TargetMode="External"/><Relationship Id="rId21" Type="http://schemas.openxmlformats.org/officeDocument/2006/relationships/hyperlink" Target="http://base.consultant.ru/cons/cgi/online.cgi?req=doc;base=LAW;n=160139" TargetMode="External"/><Relationship Id="rId22" Type="http://schemas.openxmlformats.org/officeDocument/2006/relationships/hyperlink" Target="http://www.rg.ru/2001/12/31/trud-dok.html" TargetMode="External"/><Relationship Id="rId23" Type="http://schemas.openxmlformats.org/officeDocument/2006/relationships/hyperlink" Target="https://www.gost.ru/portal/gost/home/standarts/technicalregulationses" TargetMode="External"/><Relationship Id="rId24" Type="http://schemas.openxmlformats.org/officeDocument/2006/relationships/hyperlink" Target="http://cbsd.gks.ru/" TargetMode="External"/><Relationship Id="rId25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2026-04-23T20:44:13+03:00</dcterms:created>
  <dcterms:modified xsi:type="dcterms:W3CDTF">2026-04-23T20:44:13+03:00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