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ГИДРАВЛИКА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</w:t>
            </w:r>
          </w:p>
          <w:p/>
          <w:p>
            <w:pPr/>
            <w:r>
              <w:rPr/>
              <w:t xml:space="preserve">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</w:t>
            </w:r>
          </w:p>
          <w:p/>
          <w:p>
            <w:pPr/>
            <w:r>
              <w:rPr/>
              <w:t xml:space="preserve">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</w:t>
            </w:r>
          </w:p>
          <w:p/>
          <w:p>
            <w:pPr/>
            <w:r>
              <w:rPr/>
              <w:t xml:space="preserve">ОПК-1.4 Представление базовых для профессиональной сферы физических процессов и явлений в виде математического(их) уравнения(й);</w:t>
            </w:r>
          </w:p>
          <w:p/>
          <w:p>
            <w:pPr/>
            <w:r>
              <w:rPr/>
              <w:t xml:space="preserve">ОПК-1.5 Выбор базовых физических и химических законов для решения задач промышленного и гражданского строительства;</w:t>
            </w:r>
          </w:p>
          <w:p/>
          <w:p>
            <w:pPr/>
            <w:r>
              <w:rPr/>
              <w:t xml:space="preserve">ОПК-1.6 Решение инженерных задач с помощью математического аппарата векторной алгебры, аналитической геометрии и математического анализа;</w:t>
            </w:r>
          </w:p>
          <w:p/>
          <w:p>
            <w:pPr/>
            <w:r>
              <w:rPr/>
              <w:t xml:space="preserve">ОПК-1.7 Решение уравнений, описывающих основные физические процессы, с применением методов линейной алгебры и математического анализа;</w:t>
            </w:r>
          </w:p>
          <w:p/>
          <w:p>
            <w:pPr/>
            <w:r>
              <w:rPr/>
              <w:t xml:space="preserve">ОПК-1.8 Обработка расчетных и экспериментальных данных вероятностно-статистическими методами;</w:t>
            </w:r>
          </w:p>
          <w:p/>
          <w:p>
            <w:pPr/>
            <w:r>
              <w:rPr/>
              <w:t xml:space="preserve">ОПК-1.9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Гидравлика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Гидростатика и гидродинамика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гидравлики. Великие исследователи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представления о жидкостях и еѐ свойствах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Гидростатика. Основы теории и прикладные задачи. Уравнение равновесия Эйлера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Уравнение поверхности. Гидростатическое давление в точке. Закон Паскаля. Прикладные задачи гидростатики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Гидродинамика. Основы теории.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Дифференциальное уравнение неразрывности потока. Дифференциальные уравнения движения жидкости Навье-Стокса и Эйлера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Течение жидкостей в трубах. Гидравлическое сопротивление трубопроводов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Транспортирование жидкостей. Классификация и основные параметры насосов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Гидравлический удар.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Гидростатическое давление и его измерение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Сила давления жидкости на плоские поверхности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Уравнение Бернулли. Гидравлическое сопротивление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простого трубопровода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сложного трубопровода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Трубопровод с непрерывной раздачей жидкости по пути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Гидравлический удар в трубопроводах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насосной установки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пройденного материала по гидростатике. Решение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пройденного материала по гидродинамике. Решение задач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Преподавание дисциплины ведется с применением традиционных видов образовательных технологий:</w:t>
      </w:r>
    </w:p>
    <w:p>
      <w:pPr/>
      <w:r>
        <w:rPr/>
        <w:t xml:space="preserve">- лекция,</w:t>
      </w:r>
    </w:p>
    <w:p>
      <w:pPr/>
      <w:r>
        <w:rPr/>
        <w:t xml:space="preserve">- практические задания,</w:t>
      </w:r>
    </w:p>
    <w:p>
      <w:pPr/>
      <w:r>
        <w:rPr/>
        <w:t xml:space="preserve">- самостоятельная работа.</w:t>
      </w:r>
    </w:p>
    <w:p>
      <w:pPr/>
      <w:r>
        <w:rPr/>
        <w:t xml:space="preserve">Предусмотрено использование мультимедиа -технологий, электронного учебного пособия.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Оценка «зачтено» ставится, если обучающийся полно излагает материал, дает правильное определение основных понятий, обнаруживает понимание материала, может обосновать свои суждения, применить знания на практике.</w:t>
      </w:r>
    </w:p>
    <w:p>
      <w:pPr/>
      <w:r>
        <w:rPr/>
        <w:t xml:space="preserve">Оценка «не зачтено» ставится, если обучающийся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изучается в тематической последовательности. Эффективное усвоение курса предполагает активную деятельность студентов в аудитории, а также при самостоятельной работе. Лекционный материал раскрывает в основном теоретические аспекты рассматриваемых вопросов. Закрепление материала реализуется также через практические занятия, соответствующие теоретическому материалу. Для изучения дисциплины необходимо использовать рекомендованную литературу. Некоторые вопросы требуют глубокой проработки с привлечением ранее изученного материала по другим дисциплинам.</w:t>
      </w:r>
      <w:br/>
      <w:r>
        <w:rPr/>
        <w:t xml:space="preserve">Рекомендуется не пропускать занятия. </w:t>
      </w:r>
      <w:r>
        <w:rPr/>
        <w:t xml:space="preserve">Выполнение всех запланированных работ, участие в семинаре и сдача доклада – необходимое условие сдачи зачета.</w:t>
      </w:r>
      <w:br/>
      <w:r>
        <w:rPr/>
        <w:t xml:space="preserve">При подготовке к зачету нужно просмотреть весь лекционный и дополнительный материал.</w:t>
      </w:r>
      <w:br/>
      <w:r>
        <w:rPr/>
        <w:t xml:space="preserve">Предусмотрена самостоятельная работа студентов в объеме 74 часов.</w:t>
      </w:r>
    </w:p>
    <w:p>
      <w:pPr/>
      <w:r>
        <w:rPr/>
        <w:t xml:space="preserve">Самостоятельная работа проводится с целью углубления и упрочения знаний, получаемых в ходе лекционных и практических занятий.</w:t>
      </w:r>
    </w:p>
    <w:p>
      <w:pPr/>
      <w:r>
        <w:rPr/>
        <w:t xml:space="preserve">Эта работа предусматривает:</w:t>
      </w:r>
    </w:p>
    <w:p>
      <w:pPr/>
      <w:r>
        <w:rPr/>
        <w:t xml:space="preserve">- чтение студентами рекомендованной литературы и усвоение теоретического материала дисциплины;</w:t>
      </w:r>
    </w:p>
    <w:p>
      <w:pPr/>
      <w:r>
        <w:rPr/>
        <w:t xml:space="preserve">- подготовку к практическим занятиям;</w:t>
      </w:r>
    </w:p>
    <w:p>
      <w:pPr/>
      <w:r>
        <w:rPr/>
        <w:t xml:space="preserve">- подготовка к собеседованию;</w:t>
      </w:r>
    </w:p>
    <w:p>
      <w:pPr/>
      <w:r>
        <w:rPr/>
        <w:t xml:space="preserve">- подготовку к зачету.</w:t>
      </w:r>
    </w:p>
    <w:p>
      <w:pPr/>
      <w:r>
        <w:rPr/>
        <w:t xml:space="preserve">Время на самостоятельную работу, необходимую для изучения дисциплины, необходимо равномерно распределить на весь семестр, предусматривая при этом регулярное повторение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дисциплине используются традиционные и инновационные технологии, активные и интерактивные методы и формы обучения: технология объяснительно-иллюстративного обучения с элементами проблемного изложения; технология предметно-ориентированного обучения; лекции, лекции-презентации, практические занятия, участие в экологических акциях.</w:t>
      </w:r>
    </w:p>
    <w:p>
      <w:pPr/>
      <w:r>
        <w:rPr/>
        <w:t xml:space="preserve">Лекции по настоящей дисциплине относятся к лекциям спецкурсов и проводятся в виде информационных, т. е. проводятся с использованием объяснительно иллюстративного метода изложения.</w:t>
      </w:r>
    </w:p>
    <w:p>
      <w:pPr/>
      <w:r>
        <w:rPr/>
        <w:t xml:space="preserve">Преподаватель, читающий курс лекций, должен использовать для подготовки к занятиям литературу, указанную в основном и дополнительном списках, а также любую другую доступную научную литературу. При кратком изложении вопроса следует привести ссылку на литературу (название, номер главы, раздела, страницы), в которой указанный вопрос приведен более подробно.</w:t>
      </w:r>
    </w:p>
    <w:p>
      <w:pPr/>
      <w:r>
        <w:rPr/>
        <w:t xml:space="preserve">В начале лекции и по ходу ее преподаватель задает слушателям вопросы не для контроля усвоения знаний, а для выяснения уровня осведомленности по рассматриваемой проблеме. Вопросы могут быть элементарными: для того, чтобы сосредоточить внимание, как на отдельных нюансах темы, так и на проблемах. Продумывая ответ, обучающиеся получают возможность самостоятельно прийти к выводам и обобщениям, которые хочет сообщить преподаватель в качестве новых знаний. При этом необходимо следить, чтобы вопросы не оставались без ответа, иначе лекция будет носить риторический характер.</w:t>
      </w:r>
    </w:p>
    <w:p>
      <w:pPr/>
      <w:r>
        <w:rPr/>
        <w:t xml:space="preserve">Также предусмотрены практические занятия, направленные на формирование практических умений и навыков и является связующим звеном между самостоятельным теоретическим освоением обучающимися учебной дисциплины и применением ее положений на практике.</w:t>
      </w:r>
    </w:p>
    <w:p>
      <w:pPr/>
      <w:r>
        <w:rPr/>
        <w:t xml:space="preserve">Практические занятия проводятся в целях: выработки практических умений и приобретения навыков в решении задач, выполнении заданий, производстве расчетов, разработке и оформлении документов, практического овладения иностранными языками и компьютерными технологиями.</w:t>
      </w:r>
    </w:p>
    <w:p>
      <w:pPr/>
      <w:r>
        <w:rPr/>
        <w:t xml:space="preserve">Главным их содержанием является практическая работа каждого обучающегося. Подготовка обучающихся к практическому занятию и его выполнение, осуществляется на основе задания, которое разрабатывается преподавателем и доводится до обучающихся перед проведением и в начале занятия.</w:t>
      </w:r>
    </w:p>
    <w:p>
      <w:pPr/>
      <w:r>
        <w:rPr/>
        <w:t xml:space="preserve">Для ориентации в «порядке» получаемых расчетных величин и приобретении опыта инженерных экологических расчетов по проблемам, связанным с экологическими вопросами, при необходимости проводятся необходимые расчеты.</w:t>
      </w:r>
    </w:p>
    <w:p>
      <w:pPr/>
      <w:r>
        <w:rPr/>
        <w:t xml:space="preserve">Далее полученные расчетные результаты обсуждаются с позиций их использования для оценки и прогнозирования состояния окружающей природной среды и практики производственного контроля.</w:t>
      </w:r>
    </w:p>
    <w:p>
      <w:pPr/>
      <w:r>
        <w:rPr/>
        <w:t xml:space="preserve">Для закрепления полученных знаний и навыков обучающиеся закрепляют материал при самостоятельной работе.</w:t>
      </w:r>
    </w:p>
    <w:p>
      <w:pPr/>
      <w:r>
        <w:rPr/>
        <w:t xml:space="preserve">В начале занятия рассматриваются основные теоретические положения, положенные в основу проведения расчетных манипуляций. Обращается внимание на физический смысл используемых величин их размерность, способы пересчета размерностей.</w:t>
      </w:r>
    </w:p>
    <w:p>
      <w:pPr/>
      <w:r>
        <w:rPr/>
        <w:t xml:space="preserve">Далее рассматривается алгоритм расчета различных разделов практического занятия.</w:t>
      </w:r>
    </w:p>
    <w:p>
      <w:pPr/>
      <w:r>
        <w:rPr/>
        <w:t xml:space="preserve">Для контроля знаний обучающихся используется текущая аттестация (доклад (сообщение) и промежуточная аттестация, проводимая в виде зачета.</w:t>
      </w:r>
    </w:p>
    <w:p>
      <w:pPr/>
      <w:r>
        <w:rPr/>
        <w:t xml:space="preserve">В ходе аттестаций, обучающийся получает допуск к зачету. Сдача зачета возможна только в случае наличия всех отметок о выполнении.</w:t>
      </w:r>
    </w:p>
    <w:p>
      <w:pPr/>
      <w:r>
        <w:rPr/>
        <w:t xml:space="preserve">Обучающиеся должны иметь возможность с первой недели изучения предмета ознакомиться с информацией о требуемом объеме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Викулин, П. Д. Гидравлика и аэродинамика систем водоснабжения и водоотведения [Электронный ресурс] : учебник / П. Д. Викулин, В. Б. Викулина. —</w:t>
      </w:r>
    </w:p>
    <w:p>
      <w:pPr/>
      <w:r>
        <w:rPr/>
        <w:t xml:space="preserve">Электрон. текстовые данные. — М. : МИСИ-МГСУ, ЭБС АСВ, 2018 — 396 </w:t>
      </w:r>
      <w:r>
        <w:rPr/>
        <w:t xml:space="preserve">c</w:t>
      </w:r>
      <w:r>
        <w:rPr/>
        <w:t xml:space="preserve">. — 978-5- 7264-1873-5. —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iprbookshop</w:t>
      </w:r>
      <w:r>
        <w:rPr/>
        <w:t xml:space="preserve">.</w:t>
      </w:r>
      <w:r>
        <w:rPr/>
        <w:t xml:space="preserve">ru</w:t>
      </w:r>
      <w:r>
        <w:rPr/>
        <w:t xml:space="preserve">/86292.</w:t>
      </w:r>
      <w:r>
        <w:rPr/>
        <w:t xml:space="preserve">html</w:t>
      </w:r>
    </w:p>
    <w:p>
      <w:pPr>
        <w:numPr>
          <w:ilvl w:val="0"/>
          <w:numId w:val="2"/>
        </w:numPr>
      </w:pPr>
      <w:r>
        <w:rPr/>
        <w:t xml:space="preserve"> Исаев Ю.М., Коренев В.П. Гидравлика и гидропневмопривод: учебник для студ.учреждений сред. проф. образования.- 3-е изд., стер. - М.: Издательский центр</w:t>
      </w:r>
    </w:p>
    <w:p>
      <w:pPr/>
      <w:r>
        <w:rPr/>
        <w:t xml:space="preserve">«Академия»,2013.-176с.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</w:p>
    <w:p>
      <w:pPr>
        <w:numPr>
          <w:ilvl w:val="0"/>
          <w:numId w:val="3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3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3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3"/>
        </w:numPr>
      </w:pPr>
      <w:hyperlink r:id="rId10" w:history="1">
        <w:r>
          <w:rPr/>
          <w:t xml:space="preserve">Электронной библиотечной системы «Консультант студента. Студенческая электронная библиотека»</w:t>
        </w:r>
      </w:hyperlink>
    </w:p>
    <w:p>
      <w:pPr>
        <w:numPr>
          <w:ilvl w:val="0"/>
          <w:numId w:val="3"/>
        </w:numPr>
      </w:pPr>
      <w:hyperlink r:id="rId11" w:history="1">
        <w:r>
          <w:rPr/>
          <w:t xml:space="preserve">Электронной библиотечной системы «Консультант врача: электронная медицинская библиотека»</w:t>
        </w:r>
      </w:hyperlink>
    </w:p>
    <w:p>
      <w:pPr>
        <w:numPr>
          <w:ilvl w:val="0"/>
          <w:numId w:val="3"/>
        </w:numPr>
      </w:pPr>
      <w:hyperlink r:id="rId12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3"/>
        </w:numPr>
      </w:pPr>
      <w:hyperlink r:id="rId13" w:history="1">
        <w:r>
          <w:rPr/>
          <w:t xml:space="preserve">Электронной библиотеки издательского дома «Гребенников» (Grebennikon)</w:t>
        </w:r>
      </w:hyperlink>
    </w:p>
    <w:p>
      <w:pPr>
        <w:numPr>
          <w:ilvl w:val="0"/>
          <w:numId w:val="3"/>
        </w:numPr>
      </w:pPr>
      <w:r>
        <w:rPr/>
        <w:t xml:space="preserve">Информационный портал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techgidravlika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26.10.2018).</w:t>
      </w:r>
    </w:p>
    <w:p>
      <w:pPr>
        <w:numPr>
          <w:ilvl w:val="0"/>
          <w:numId w:val="3"/>
        </w:numPr>
      </w:pPr>
      <w:r>
        <w:rPr/>
        <w:t xml:space="preserve">Информационныйпортал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gurauto</w:t>
      </w:r>
      <w:r>
        <w:rPr/>
        <w:t xml:space="preserve">.</w:t>
      </w:r>
      <w:r>
        <w:rPr/>
        <w:t xml:space="preserve">ru</w:t>
      </w:r>
      <w:r>
        <w:rPr/>
        <w:t xml:space="preserve">/(дата обращения: 26.10.2018).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предусматривается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F4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5611E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D3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5789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s://elibrary.petrsu.ru" TargetMode="External"/><Relationship Id="rId9" Type="http://schemas.openxmlformats.org/officeDocument/2006/relationships/hyperlink" Target="https://biblioclub.ru" TargetMode="External"/><Relationship Id="rId10" Type="http://schemas.openxmlformats.org/officeDocument/2006/relationships/hyperlink" Target="https://www.studentlibrary.ru" TargetMode="External"/><Relationship Id="rId11" Type="http://schemas.openxmlformats.org/officeDocument/2006/relationships/hyperlink" Target="https://www.rosmedlib.ru" TargetMode="External"/><Relationship Id="rId12" Type="http://schemas.openxmlformats.org/officeDocument/2006/relationships/hyperlink" Target="https://www.urait.ru" TargetMode="External"/><Relationship Id="rId13" Type="http://schemas.openxmlformats.org/officeDocument/2006/relationships/hyperlink" Target="https://grebennik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2026-04-23T15:28:32+03:00</dcterms:created>
  <dcterms:modified xsi:type="dcterms:W3CDTF">2026-04-23T15:28:32+03:00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