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КОНЦЕПЦИЯ СОВРЕМЕННОГО ЕСТЕСТВОЗНАНИЯ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Концепция современного естествознания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Естествознание и культура. Исторические этапы развития естествознания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уровни организации материи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частицы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Квантовая 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естествознания в культуре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этапы развития естествознания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Познаваемость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формирования физической картины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Структурность и системность описания материи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Пространственная шкала структурных объединений материи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частицы. Их характеристики и систематика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Стандартная модель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Супекрсимметрия. Состав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Античастицы. Вакуум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Волновая функция и уравнение Шрёдингера. Принципы неопределенности и дополнительности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Суперпозиция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Квантовая запутанность. Интерпретации квантовой механики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Паули. Квантовая криптография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представлений об эволюции Вселенной. Основные параметры видимой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старой теории большого взрыва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инфляции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на ранней стадии развития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естествознания в культуре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этапы развития естествознания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Познаваемость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формирования физической картины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Структурность и системность описания материи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Пространственная шкала структурных объединений материи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Вещество и поле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уровни вещества в микромире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частицы. Их характеристики и систематика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Стандартная модель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Супекрсимметрия. Состав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Античастицы. Вакуум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Волновая функция и уравнение Шрёдингера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неопределенности и дополнительности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Суперпозиция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Квантовая запутанность. Интерпретации квантовой механики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Паули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Квантовая криптография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представлений об эволюции Вселенной. Основные параметры видимой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старой теории большого взрыва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инфляции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на ранней стадии развития Вселенной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практические занятия. Программа курса предусматривает 28 часов практических занятий, проводимых в классах, оборудованных мультимедийным оборудованием. В соответствии с требованиями ФГОС ВО по направлению подготовки "Технологические машины и оборудование"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занятий, на которых обучающиеся выступают с докладами и презентациями по разделам дисциплины и последующим совместным обсуждением рассматриваемого материала. 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Парадоксы теории относительности</w:t>
      </w:r>
    </w:p>
    <w:p>
      <w:pPr>
        <w:numPr>
          <w:ilvl w:val="0"/>
          <w:numId w:val="1"/>
        </w:numPr>
      </w:pPr>
      <w:r>
        <w:rPr/>
        <w:t xml:space="preserve">Эволюция звезд: от «рождения» до «смерти»</w:t>
      </w:r>
    </w:p>
    <w:p>
      <w:pPr>
        <w:numPr>
          <w:ilvl w:val="0"/>
          <w:numId w:val="1"/>
        </w:numPr>
      </w:pPr>
      <w:r>
        <w:rPr/>
        <w:t xml:space="preserve">Темная материя и темная энергия</w:t>
      </w:r>
    </w:p>
    <w:p>
      <w:pPr>
        <w:numPr>
          <w:ilvl w:val="0"/>
          <w:numId w:val="1"/>
        </w:numPr>
      </w:pPr>
      <w:r>
        <w:rPr/>
        <w:t xml:space="preserve">Планковские величины (длина, время и др.)</w:t>
      </w:r>
    </w:p>
    <w:p>
      <w:pPr>
        <w:numPr>
          <w:ilvl w:val="0"/>
          <w:numId w:val="1"/>
        </w:numPr>
      </w:pPr>
      <w:r>
        <w:rPr/>
        <w:t xml:space="preserve">Основные положения теории струн</w:t>
      </w:r>
    </w:p>
    <w:p>
      <w:pPr>
        <w:numPr>
          <w:ilvl w:val="0"/>
          <w:numId w:val="1"/>
        </w:numPr>
      </w:pPr>
      <w:r>
        <w:rPr/>
        <w:t xml:space="preserve">Философские представления Иммануила Канта о познании</w:t>
      </w:r>
    </w:p>
    <w:p>
      <w:pPr>
        <w:numPr>
          <w:ilvl w:val="0"/>
          <w:numId w:val="1"/>
        </w:numPr>
      </w:pPr>
      <w:r>
        <w:rPr/>
        <w:t xml:space="preserve">История открытия гравитационных волн</w:t>
      </w:r>
    </w:p>
    <w:p>
      <w:pPr>
        <w:numPr>
          <w:ilvl w:val="0"/>
          <w:numId w:val="1"/>
        </w:numPr>
      </w:pPr>
      <w:r>
        <w:rPr/>
        <w:t xml:space="preserve">Парадоксы квантовой механики</w:t>
      </w:r>
    </w:p>
    <w:p>
      <w:pPr>
        <w:numPr>
          <w:ilvl w:val="0"/>
          <w:numId w:val="1"/>
        </w:numPr>
      </w:pPr>
      <w:r>
        <w:rPr/>
        <w:t xml:space="preserve">Естественно-научная картина мира в древнегреческой культуре</w:t>
      </w:r>
    </w:p>
    <w:p>
      <w:pPr>
        <w:numPr>
          <w:ilvl w:val="0"/>
          <w:numId w:val="1"/>
        </w:numPr>
      </w:pPr>
      <w:r>
        <w:rPr/>
        <w:t xml:space="preserve">Естествознание в эпоху Средневековья</w:t>
      </w:r>
    </w:p>
    <w:p>
      <w:pPr>
        <w:numPr>
          <w:ilvl w:val="0"/>
          <w:numId w:val="1"/>
        </w:numPr>
      </w:pPr>
      <w:r>
        <w:rPr/>
        <w:t xml:space="preserve">Познание природы в эпоху Возрождения</w:t>
      </w:r>
    </w:p>
    <w:p>
      <w:pPr>
        <w:numPr>
          <w:ilvl w:val="0"/>
          <w:numId w:val="1"/>
        </w:numPr>
      </w:pPr>
      <w:r>
        <w:rPr/>
        <w:t xml:space="preserve">Научная революция XVII в. (классическая механика)</w:t>
      </w:r>
    </w:p>
    <w:p>
      <w:pPr>
        <w:numPr>
          <w:ilvl w:val="0"/>
          <w:numId w:val="1"/>
        </w:numPr>
      </w:pPr>
      <w:r>
        <w:rPr/>
        <w:t xml:space="preserve">Естествознание XVIII — первой половины XIX в</w:t>
      </w:r>
    </w:p>
    <w:p>
      <w:pPr>
        <w:numPr>
          <w:ilvl w:val="0"/>
          <w:numId w:val="1"/>
        </w:numPr>
      </w:pPr>
      <w:r>
        <w:rPr/>
        <w:t xml:space="preserve">Естествознание второй половины XIX в</w:t>
      </w:r>
    </w:p>
    <w:p>
      <w:pPr>
        <w:numPr>
          <w:ilvl w:val="0"/>
          <w:numId w:val="1"/>
        </w:numPr>
      </w:pPr>
      <w:r>
        <w:rPr/>
        <w:t xml:space="preserve">Научная революция в физике начала XX в. (релятивистская и квантовая физика)</w:t>
      </w:r>
    </w:p>
    <w:p>
      <w:pPr>
        <w:numPr>
          <w:ilvl w:val="0"/>
          <w:numId w:val="1"/>
        </w:numPr>
      </w:pPr>
      <w:r>
        <w:rPr/>
        <w:t xml:space="preserve">Эволюция звезд: от «рождения» до «смерти»</w:t>
      </w:r>
    </w:p>
    <w:p>
      <w:pPr>
        <w:numPr>
          <w:ilvl w:val="0"/>
          <w:numId w:val="1"/>
        </w:numPr>
      </w:pPr>
      <w:r>
        <w:rPr/>
        <w:t xml:space="preserve">Современная биологическая картина мира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на последней неделе семестра. Каждый студент выполняет итоговый тест и обсуждает с преподавателем его результаты.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>
      <w:pPr/>
      <w:r>
        <w:rPr/>
        <w:t xml:space="preserve">Примеры вопросов теста </w:t>
      </w:r>
    </w:p>
    <w:p>
      <w:pPr/>
    </w:p>
    <w:tbl>
      <w:tblGrid>
        <w:gridCol w:w="750" w:type="dxa"/>
        <w:gridCol w:w="540" w:type="dxa"/>
        <w:gridCol w:w="8010" w:type="dxa"/>
      </w:tblGrid>
      <w:tblPr>
        <w:tblW w:w="9300" w:type="dxa"/>
        <w:tblLayout w:type="autofit"/>
      </w:tblPr>
      <w:tr>
        <w:trPr/>
        <w:tc>
          <w:tcPr>
            <w:tcW w:w="75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К какой части культуры человека следует относить науку?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а.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Материальная культура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б.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Духовная культура</w:t>
            </w:r>
          </w:p>
        </w:tc>
      </w:tr>
    </w:tbl>
    <w:p>
      <w:pPr/>
      <w:r>
        <w:rPr/>
        <w:t xml:space="preserve"> </w:t>
      </w:r>
    </w:p>
    <w:tbl>
      <w:tblGrid>
        <w:gridCol w:w="750" w:type="dxa"/>
        <w:gridCol w:w="540" w:type="dxa"/>
        <w:gridCol w:w="8010" w:type="dxa"/>
      </w:tblGrid>
      <w:tblPr>
        <w:tblW w:w="9300" w:type="dxa"/>
        <w:tblLayout w:type="autofit"/>
      </w:tblPr>
      <w:tr>
        <w:trPr/>
        <w:tc>
          <w:tcPr>
            <w:tcW w:w="75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Приведите 4-5 примеров естественных наук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а.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________________________________________________________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б.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________________________________________________________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в.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________________________________________________________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г.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________________________________________________________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д.</w:t>
            </w:r>
          </w:p>
        </w:tc>
        <w:tc>
          <w:tcPr>
            <w:tcW w:w="8010" w:type="dxa"/>
            <w:noWrap/>
          </w:tcPr>
          <w:p>
            <w:pPr/>
            <w:r>
              <w:rPr/>
              <w:t xml:space="preserve">________________________________________________________ </w:t>
            </w:r>
          </w:p>
        </w:tc>
      </w:tr>
    </w:tbl>
    <w:p>
      <w:pPr/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практические занятия и зачет.</w:t>
      </w:r>
    </w:p>
    <w:p>
      <w:pPr/>
      <w:r>
        <w:rPr/>
        <w:t xml:space="preserve">Практические занятия проходят раз в неделю в течение семестра. При этом предусматривается 28 часов аудиторной и 80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 На практических занятиях обучающиеся выступают с докладами по разделам дисциплины, после чего следует обсуждение материала и ответы на вопросы аудитории.  Часть времени практических занятий посвящается проверке текущих знаний в форме коллоквиума.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занятий. Окончательное решение об аттестации по дисциплине принимается на зачете по результатам выполнения теста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"Концепция современного естествознания" следует руководствоваться информацией, входящей в данную рабочую программу. Аудиторная нагрузка включает практические занятия. Практические занятия проходят еженедельно с начала второго семестра. На всех занятиях проводится контроль посещаемости.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материала. На практических занятиях обучающиеся выступают с докладами по разделам дисциплины, после чего следует обсуждение материала и ответы на вопросы аудитории.</w:t>
      </w:r>
    </w:p>
    <w:p>
      <w:pPr/>
      <w:r>
        <w:rPr/>
        <w:t xml:space="preserve">При оценке работы студента учитывается ряд критериев, в том числе посещение и результаты практических занятий. Окончательное решение об аттестации по дисциплине принимается на зачете по результатам выполнения теста.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Карпенков, С. Х. Концепции современного естествознания : учебник для студентов вузов / С. Х. Карпенков. - 11-е изд., перераб. и доп. - Москва : КноРус, 2012. - 670 с.</w:t>
      </w:r>
    </w:p>
    <w:p>
      <w:pPr>
        <w:numPr>
          <w:ilvl w:val="0"/>
          <w:numId w:val="2"/>
        </w:numPr>
      </w:pPr>
      <w:r>
        <w:rPr/>
        <w:t xml:space="preserve">Луканин В. В. Концепции современного естествознания : курс лекций / В. В. Луканин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2012. - 147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Докукин М. Ю. Концепции современного естествознания : учеб. пособие / М. Ю. Докукин. - Москва: Изд-во МГТУ им. Н. Э. Баумана, 2010. - 167 с.</w:t>
      </w:r>
    </w:p>
    <w:p>
      <w:pPr>
        <w:numPr>
          <w:ilvl w:val="0"/>
          <w:numId w:val="3"/>
        </w:numPr>
      </w:pPr>
      <w:r>
        <w:rPr/>
        <w:t xml:space="preserve">Аль-Халили Дж. Парадокс. Девять великих загадок физики / Дж. Аль-Халили. - Санкт-Петербург: Питер, 2018. -288 с.</w:t>
      </w:r>
    </w:p>
    <w:p>
      <w:pPr>
        <w:numPr>
          <w:ilvl w:val="0"/>
          <w:numId w:val="3"/>
        </w:numPr>
      </w:pPr>
      <w:r>
        <w:rPr/>
        <w:t xml:space="preserve">Теории всего на свете / под. ред Д. Брокмана. - 4-е изд. - Москва: Лаборатория знаний, 2019. -400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59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4CC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6B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62C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