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Скобцов Игорь Геннадьевич, заместитель директора по научной работе, Институт лесных, горных и строительных наук; профессор, кафедра транспортных и технологических машин и оборудования, доктор технических наук, доцент; 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специальность. Действия при стихийных бедствиях и техногенных авариях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России. Отношения с блоком НАТО.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Темы эссе:</w:t>
      </w:r>
    </w:p>
    <w:p>
      <w:pPr>
        <w:numPr>
          <w:ilvl w:val="0"/>
          <w:numId w:val="2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2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2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2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2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2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2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2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2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2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2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2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2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2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2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2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Темы эссе: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/>
      <w:r>
        <w:rPr/>
        <w:t xml:space="preserve">Вопросы к зачету;</w:t>
      </w:r>
    </w:p>
    <w:p>
      <w:pPr/>
      <w:r>
        <w:rPr>
          <w:i w:val="1"/>
          <w:iCs w:val="1"/>
        </w:rPr>
        <w:t xml:space="preserve">Вопросы к собеседованию для экзамена: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>
        <w:numPr>
          <w:ilvl w:val="0"/>
          <w:numId w:val="7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8.1. 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8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8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8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8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8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8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8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8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8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8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9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9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9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10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10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11"/>
        </w:numPr>
      </w:pPr>
      <w:r>
        <w:rPr/>
        <w:t xml:space="preserve">ОС Windows 7, Windows 10, WindowsXP.</w:t>
      </w:r>
    </w:p>
    <w:p>
      <w:pPr>
        <w:numPr>
          <w:ilvl w:val="0"/>
          <w:numId w:val="11"/>
        </w:numPr>
      </w:pPr>
      <w:r>
        <w:rPr/>
        <w:t xml:space="preserve">Офисный пакет: Office 2007.</w:t>
      </w:r>
    </w:p>
    <w:p>
      <w:pPr>
        <w:numPr>
          <w:ilvl w:val="0"/>
          <w:numId w:val="11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12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12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Крупнейшая российская электронная библиотека - http://elibrary.ru.</w:t>
      </w:r>
    </w:p>
    <w:p>
      <w:pPr/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FB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484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651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C19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716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7D727B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563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5BC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F6B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28C63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777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331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F0D0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3F1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2026-04-23T18:57:50+03:00</dcterms:created>
  <dcterms:modified xsi:type="dcterms:W3CDTF">2026-04-23T18:57:50+03:00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