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r>
        <w:trPr/>
        <w:tc>
          <w:tcPr>
            <w:tcW w:w="2500" w:type="dxa"/>
            <w:noWrap/>
          </w:tcPr>
          <w:p>
            <w:pPr>
              <w:jc w:val="numTab"/>
              <w:ind w:left="0" w:right="0" w:firstLine="0" w:hanging="0"/>
            </w:pPr>
            <w:r>
              <w:rPr/>
              <w:t xml:space="preserve">ОПК-14
Начальный, Основной</w:t>
            </w:r>
          </w:p>
        </w:tc>
        <w:tc>
          <w:tcPr>
            <w:tcW w:w="4000" w:type="dxa"/>
            <w:noWrap/>
          </w:tcPr>
          <w:p>
            <w:pPr>
              <w:jc w:val="numTab"/>
              <w:ind w:left="0" w:right="0" w:firstLine="0" w:hanging="0"/>
            </w:pPr>
            <w:r>
              <w:rPr/>
              <w:t xml:space="preserve">Способен разрабатывать алгоритмы и компьютерные программы, пригодные для практического применения</w:t>
            </w:r>
          </w:p>
        </w:tc>
        <w:tc>
          <w:tcPr>
            <w:tcW w:w="3100" w:type="dxa"/>
            <w:noWrap/>
          </w:tcPr>
          <w:p>
            <w:pPr/>
            <w:r>
              <w:rPr/>
              <w:t xml:space="preserve">ОПК-14.1. Понимает принципы построения алгоритмов и компьютерных программ, пригодных для практического применения в сфере своей профессиональной деятельности;</w:t>
            </w:r>
          </w:p>
          <w:p/>
          <w:p>
            <w:pPr/>
            <w:r>
              <w:rPr/>
              <w:t xml:space="preserve">ОПК-14.2. Владеет навыками программирования, отладки и тестирования компьютерных программ в сфере своей профессиональной деятельности; </w:t>
            </w:r>
          </w:p>
          <w:p/>
          <w:p>
            <w:pPr/>
            <w:r>
              <w:rPr/>
              <w:t xml:space="preserve">ОПК-14.3. Способен творчески модифицировать методологию и технические средства для решения различных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21</w:t>
            </w:r>
          </w:p>
        </w:tc>
        <w:tc>
          <w:tcPr>
            <w:noWrap/>
          </w:tcPr>
          <w:p>
            <w:pPr>
              <w:jc w:val="left"/>
              <w:ind w:left="0" w:right="0" w:firstLine="0" w:hanging="0"/>
            </w:pPr>
            <w:r>
              <w:rPr/>
              <w:t xml:space="preserve">21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35</w:t>
            </w:r>
          </w:p>
        </w:tc>
        <w:tc>
          <w:tcPr>
            <w:noWrap/>
          </w:tcPr>
          <w:p>
            <w:pPr>
              <w:jc w:val="left"/>
              <w:ind w:left="0" w:right="0" w:firstLine="0" w:hanging="0"/>
            </w:pPr>
            <w:r>
              <w:rPr/>
              <w:t xml:space="preserve">25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88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2 часа лекций, читаемых с использованием презентации, в классах, оборудованных мультимедийным оборудованием. </w:t>
      </w:r>
    </w:p>
    <w:p>
      <w:pPr/>
      <w:r>
        <w:rPr/>
        <w:t xml:space="preserve">По предмету "Логистика" разработан дистанционный курс в среде WebCT. Дистанционный курс содержит все необходимые для освоения предмета материалы: учебное пособие в электронном виде,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Webct.ru. Перед изучением курса каждый студент регистрируется на сайте ПетрГУ  Webct.ru.</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Moodle.</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w="16455" w:type="dxa"/>
      </w:tblGrid>
      <w:tblPr>
        <w:tblW w:w="0" w:type="auto"/>
        <w:tblLayout w:type="autofit"/>
      </w:tblPr>
      <w:tr>
        <w:trPr>
          <w:trHeight w:val="1995" w:hRule="exact"/>
        </w:trPr>
        <w:tc>
          <w:tcPr>
            <w:tcW w:w="16455" w:type="dxa"/>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r>
              <w:rPr/>
              <w:t xml:space="preserve"> </w:t>
            </w:r>
          </w:p>
        </w:tc>
      </w:tr>
      <w:tr>
        <w:trPr>
          <w:trHeight w:val="3180" w:hRule="exact"/>
        </w:trPr>
        <w:tc>
          <w:tcPr>
            <w:tcW w:w="16455" w:type="dxa"/>
            <w:noWrap/>
          </w:tcPr>
          <w:tbl>
            <w:tblGrid>
              <w:gridCol w:w="16455" w:type="dxa"/>
              <w:gridCol w:w="675" w:type="dxa"/>
              <w:gridCol w:w="1605" w:type="dxa"/>
            </w:tblGrid>
            <w:tblPr>
              <w:tblW w:w="0" w:type="auto"/>
              <w:tblLayout w:type="autofit"/>
            </w:tblPr>
            <w:tr>
              <w:trPr/>
              <w:tc>
                <w:tcPr>
                  <w:tcW w:w="16455" w:type="dxa"/>
                  <w:noWrap/>
                </w:tcPr>
                <w:p>
                  <w:pPr/>
                  <w:r>
                    <w:rPr/>
                    <w:t xml:space="preserve"> </w:t>
                  </w:r>
                </w:p>
              </w:tc>
              <w:tc>
                <w:tcPr>
                  <w:tcW w:w="675" w:type="dxa"/>
                  <w:noWrap/>
                </w:tcPr>
                <w:p>
                  <w:pPr/>
                  <w:r>
                    <w:rPr/>
                    <w:t xml:space="preserve">a.</w:t>
                  </w:r>
                </w:p>
              </w:tc>
              <w:tc>
                <w:tcPr>
                  <w:tcW w:w="1605" w:type="dxa"/>
                  <w:noWrap/>
                </w:tcPr>
                <w:p>
                  <w:pPr/>
                  <w:r>
                    <w:rPr/>
                    <w:t xml:space="preserve">a,b,c</w:t>
                  </w:r>
                </w:p>
              </w:tc>
            </w:tr>
            <w:tr>
              <w:trPr/>
              <w:tc>
                <w:tcPr>
                  <w:tcW w:w="16455" w:type="dxa"/>
                  <w:noWrap/>
                </w:tcPr>
                <w:p>
                  <w:pPr/>
                  <w:r>
                    <w:rPr/>
                    <w:t xml:space="preserve"> </w:t>
                  </w:r>
                </w:p>
              </w:tc>
              <w:tc>
                <w:tcPr>
                  <w:tcW w:w="675" w:type="dxa"/>
                  <w:noWrap/>
                </w:tcPr>
                <w:p>
                  <w:pPr/>
                  <w:r>
                    <w:rPr/>
                    <w:t xml:space="preserve">b.</w:t>
                  </w:r>
                </w:p>
              </w:tc>
              <w:tc>
                <w:tcPr>
                  <w:tcW w:w="1605" w:type="dxa"/>
                  <w:noWrap/>
                </w:tcPr>
                <w:p>
                  <w:pPr/>
                  <w:r>
                    <w:rPr/>
                    <w:t xml:space="preserve">a,b</w:t>
                  </w:r>
                </w:p>
              </w:tc>
            </w:tr>
            <w:tr>
              <w:trPr/>
              <w:tc>
                <w:tcPr>
                  <w:tcW w:w="16455" w:type="dxa"/>
                  <w:noWrap/>
                </w:tcPr>
                <w:p>
                  <w:pPr/>
                  <w:r>
                    <w:rPr/>
                    <w:t xml:space="preserve"> </w:t>
                  </w:r>
                </w:p>
              </w:tc>
              <w:tc>
                <w:tcPr>
                  <w:tcW w:w="675" w:type="dxa"/>
                  <w:noWrap/>
                </w:tcPr>
                <w:p>
                  <w:pPr/>
                  <w:r>
                    <w:rPr/>
                    <w:t xml:space="preserve">c.</w:t>
                  </w:r>
                </w:p>
              </w:tc>
              <w:tc>
                <w:tcPr>
                  <w:tcW w:w="1605" w:type="dxa"/>
                  <w:noWrap/>
                </w:tcPr>
                <w:p>
                  <w:pPr/>
                  <w:r>
                    <w:rPr/>
                    <w:t xml:space="preserve">b,c</w:t>
                  </w:r>
                </w:p>
              </w:tc>
            </w:tr>
            <w:tr>
              <w:trPr/>
              <w:tc>
                <w:tcPr>
                  <w:tcW w:w="16455" w:type="dxa"/>
                  <w:noWrap/>
                </w:tcPr>
                <w:p>
                  <w:pPr/>
                  <w:r>
                    <w:rPr/>
                    <w:t xml:space="preserve"> </w:t>
                  </w:r>
                </w:p>
              </w:tc>
              <w:tc>
                <w:tcPr>
                  <w:tcW w:w="675" w:type="dxa"/>
                  <w:noWrap/>
                </w:tcPr>
                <w:p>
                  <w:pPr/>
                  <w:r>
                    <w:rPr/>
                    <w:t xml:space="preserve">d.</w:t>
                  </w:r>
                </w:p>
              </w:tc>
              <w:tc>
                <w:tcPr>
                  <w:tcW w:w="1605" w:type="dxa"/>
                  <w:noWrap/>
                </w:tcPr>
                <w:p>
                  <w:pPr/>
                  <w:r>
                    <w:rPr/>
                    <w:t xml:space="preserve">a,c</w:t>
                  </w:r>
                </w:p>
              </w:tc>
            </w:tr>
          </w:tbl>
          <w:p/>
        </w:tc>
      </w:tr>
    </w:tbl>
    <w:p>
      <w:pPr/>
      <w:r>
        <w:rPr/>
        <w:t xml:space="preserve"> </w:t>
      </w:r>
    </w:p>
    <w:p>
      <w:pPr>
        <w:pStyle w:val="Heading3"/>
      </w:pPr>
      <w:r>
        <w:rPr>
          <w:b w:val="1"/>
          <w:bCs w:val="1"/>
        </w:rPr>
        <w:t xml:space="preserve">Тест для подготовки к экзамену</w:t>
      </w:r>
    </w:p>
    <w:p>
      <w:pPr/>
      <w:r>
        <w:rPr/>
        <w:t xml:space="preserve">Тест для подготовки к экзамену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Moodle.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Физическое товародвижение заключается в...</w:t>
            </w:r>
          </w:p>
          <w:p>
            <w:pPr/>
            <w:r>
              <w:rPr/>
              <w:t xml:space="preserve"> </w:t>
            </w:r>
          </w:p>
        </w:tc>
      </w:tr>
      <w:tr>
        <w:trPr/>
        <w:tc>
          <w:tcPr>
            <w:noWrap/>
          </w:tcPr>
          <w:tbl>
            <w:tblGrid>
              <w:gridCol w:w="7560" w:type="dxa"/>
              <w:gridCol w:w="675" w:type="dxa"/>
              <w:gridCol w:w="7560" w:type="dxa"/>
            </w:tblGrid>
            <w:tblPr>
              <w:tblW w:w="7560" w:type="dxa"/>
              <w:tblLayout w:type="autofit"/>
            </w:tblPr>
            <w:tr>
              <w:trPr/>
              <w:tc>
                <w:tcPr>
                  <w:tcW w:w="7560" w:type="dxa"/>
                  <w:noWrap/>
                </w:tcPr>
                <w:p>
                  <w:pPr/>
                  <w:r>
                    <w:rPr/>
                    <w:t xml:space="preserve"> </w:t>
                  </w:r>
                </w:p>
              </w:tc>
              <w:tc>
                <w:tcPr>
                  <w:tcW w:w="675" w:type="dxa"/>
                  <w:noWrap/>
                </w:tcPr>
                <w:p>
                  <w:pPr/>
                  <w:r>
                    <w:rPr/>
                    <w:t xml:space="preserve">a.</w:t>
                  </w:r>
                </w:p>
              </w:tc>
              <w:tc>
                <w:tcPr>
                  <w:tcW w:w="7560" w:type="dxa"/>
                  <w:noWrap/>
                </w:tcPr>
                <w:p>
                  <w:pPr/>
                  <w:r>
                    <w:rPr/>
                    <w:t xml:space="preserve">...продвижении товара из одного географического пункта в другой</w:t>
                  </w:r>
                </w:p>
              </w:tc>
            </w:tr>
            <w:tr>
              <w:trPr/>
              <w:tc>
                <w:tcPr>
                  <w:tcW w:w="7560" w:type="dxa"/>
                  <w:noWrap/>
                </w:tcPr>
                <w:p>
                  <w:pPr/>
                  <w:r>
                    <w:rPr/>
                    <w:t xml:space="preserve"> </w:t>
                  </w:r>
                </w:p>
              </w:tc>
              <w:tc>
                <w:tcPr>
                  <w:tcW w:w="675" w:type="dxa"/>
                  <w:noWrap/>
                </w:tcPr>
                <w:p>
                  <w:pPr/>
                  <w:r>
                    <w:rPr/>
                    <w:t xml:space="preserve">b.</w:t>
                  </w:r>
                </w:p>
              </w:tc>
              <w:tc>
                <w:tcPr>
                  <w:tcW w:w="7560" w:type="dxa"/>
                  <w:noWrap/>
                </w:tcPr>
                <w:p>
                  <w:pPr/>
                  <w:r>
                    <w:rPr/>
                    <w:t xml:space="preserve">...переходе товара от одного владельца к другому</w:t>
                  </w:r>
                </w:p>
              </w:tc>
            </w:tr>
          </w:tbl>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Какое подразделение из названных стремится минимизировать запасы?</w:t>
            </w:r>
          </w:p>
          <w:p>
            <w:pPr/>
            <w:r>
              <w:rPr/>
              <w:t xml:space="preserve"> </w:t>
            </w:r>
          </w:p>
        </w:tc>
      </w:tr>
      <w:tr>
        <w:trPr/>
        <w:tc>
          <w:tcPr>
            <w:noWrap/>
          </w:tcPr>
          <w:tbl>
            <w:tblGrid>
              <w:gridCol/>
              <w:gridCol w:w="810" w:type="dxa"/>
              <w:gridCol/>
            </w:tblGrid>
            <w:tblPr>
              <w:tblW w:w="0" w:type="auto"/>
              <w:tblLayout w:type="autofit"/>
            </w:tblPr>
            <w:tr>
              <w:trPr/>
              <w:tc>
                <w:tcPr>
                  <w:noWrap/>
                </w:tcPr>
                <w:p>
                  <w:pPr/>
                  <w:r>
                    <w:rPr/>
                    <w:t xml:space="preserve"> </w:t>
                  </w:r>
                </w:p>
              </w:tc>
              <w:tc>
                <w:tcPr>
                  <w:tcW w:w="810" w:type="dxa"/>
                  <w:noWrap/>
                </w:tcPr>
                <w:p>
                  <w:pPr/>
                  <w:r>
                    <w:rPr/>
                    <w:t xml:space="preserve">a.</w:t>
                  </w:r>
                </w:p>
              </w:tc>
              <w:tc>
                <w:tcPr>
                  <w:noWrap/>
                </w:tcPr>
                <w:p>
                  <w:pPr/>
                  <w:r>
                    <w:rPr/>
                    <w:t xml:space="preserve">Служба маркетинга</w:t>
                  </w:r>
                </w:p>
              </w:tc>
            </w:tr>
            <w:tr>
              <w:trPr/>
              <w:tc>
                <w:tcPr>
                  <w:noWrap/>
                </w:tcPr>
                <w:p>
                  <w:pPr/>
                  <w:r>
                    <w:rPr/>
                    <w:t xml:space="preserve"> </w:t>
                  </w:r>
                </w:p>
              </w:tc>
              <w:tc>
                <w:tcPr>
                  <w:tcW w:w="810" w:type="dxa"/>
                  <w:noWrap/>
                </w:tcPr>
                <w:p>
                  <w:pPr/>
                  <w:r>
                    <w:rPr/>
                    <w:t xml:space="preserve">b.</w:t>
                  </w:r>
                </w:p>
              </w:tc>
              <w:tc>
                <w:tcPr>
                  <w:noWrap/>
                </w:tcPr>
                <w:p>
                  <w:pPr/>
                  <w:r>
                    <w:rPr/>
                    <w:t xml:space="preserve">Финансовый отдел</w:t>
                  </w:r>
                </w:p>
              </w:tc>
            </w:tr>
            <w:tr>
              <w:trPr/>
              <w:tc>
                <w:tcPr>
                  <w:noWrap/>
                </w:tcPr>
                <w:p>
                  <w:pPr/>
                  <w:r>
                    <w:rPr/>
                    <w:t xml:space="preserve"> </w:t>
                  </w:r>
                </w:p>
              </w:tc>
              <w:tc>
                <w:tcPr>
                  <w:tcW w:w="810" w:type="dxa"/>
                  <w:noWrap/>
                </w:tcPr>
                <w:p>
                  <w:pPr/>
                  <w:r>
                    <w:rPr/>
                    <w:t xml:space="preserve">c.</w:t>
                  </w:r>
                </w:p>
              </w:tc>
              <w:tc>
                <w:tcPr>
                  <w:noWrap/>
                </w:tcPr>
                <w:p>
                  <w:pPr/>
                  <w:r>
                    <w:rPr/>
                    <w:t xml:space="preserve">Служба закупки</w:t>
                  </w:r>
                </w:p>
              </w:tc>
            </w:tr>
          </w:tbl>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практические занятия, экзамен.</w:t>
      </w:r>
    </w:p>
    <w:p>
      <w:pPr/>
      <w:r>
        <w:rPr/>
        <w:t xml:space="preserve">Проводится промежуточное тестирование, проводимое дистанционно средствами дистанционного курса Moodle "Логистика".</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Для получения аттестации по дисциплине необходимо иметь оценку 3 балла или выше за финальный тест. Оценки за тесты и финальная оценка вычисляется в Moodle автоматически. Все оценки доступны в разделе ДК «Мои оценки».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Для ее использования требуется мультимедиапроектор и компьютер (ноутбук). Желательно иметь указку.</w:t>
      </w:r>
    </w:p>
    <w:p>
      <w:pPr/>
      <w:r>
        <w:rPr/>
        <w:t xml:space="preserve">Разработанный дистанционный курс  в среде Moodle ПетрГУ,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Moodle ПетрГУ и получить доступ к ДК «Логистика».</w:t>
      </w:r>
    </w:p>
    <w:p>
      <w:pPr/>
      <w:r>
        <w:rPr/>
        <w:t xml:space="preserve"> </w:t>
      </w: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Moodle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Moodle и получить доступ к ДК «Логистика».</w:t>
      </w:r>
    </w:p>
    <w:p>
      <w:pPr/>
      <w:r>
        <w:rPr/>
        <w:t xml:space="preserve">Кроме того, в ДК Moodle «Логистика» размещен тест для подготовки к экзамену, который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3"/>
        </w:numPr>
      </w:pPr>
      <w:r>
        <w:rPr/>
        <w:t xml:space="preserve">Электронная библиотека Республики Карелия http://elibrary.karelia.ru/</w:t>
      </w:r>
    </w:p>
    <w:p>
      <w:pPr>
        <w:numPr>
          <w:ilvl w:val="0"/>
          <w:numId w:val="3"/>
        </w:numPr>
      </w:pPr>
      <w:r>
        <w:rPr/>
        <w:t xml:space="preserve">Электронная библиотечная система «Университетская библиотека онлайн» http://biblioclub.ru/</w:t>
      </w:r>
    </w:p>
    <w:p>
      <w:pPr>
        <w:numPr>
          <w:ilvl w:val="0"/>
          <w:numId w:val="3"/>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3"/>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Дистанционный курс "Логистика", размещенный на сервере Moodle ПетрГУ: https://moodle2.petrsu.ru/</w:t>
      </w:r>
    </w:p>
    <w:p>
      <w:pPr>
        <w:numPr>
          <w:ilvl w:val="0"/>
          <w:numId w:val="4"/>
        </w:numPr>
      </w:pPr>
      <w:r>
        <w:rPr/>
        <w:t xml:space="preserve">Рабочая программа дисциплины «Логистика»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инженерных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ИЛГИСН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E8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18F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92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FB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40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2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2026-04-23T20:44:41+03:00</dcterms:created>
  <dcterms:modified xsi:type="dcterms:W3CDTF">2026-04-23T20:44:41+03:00</dcterms:modified>
</cp:coreProperties>
</file>

<file path=docProps/custom.xml><?xml version="1.0" encoding="utf-8"?>
<Properties xmlns="http://schemas.openxmlformats.org/officeDocument/2006/custom-properties" xmlns:vt="http://schemas.openxmlformats.org/officeDocument/2006/docPropsVTypes"/>
</file>