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Средства измерительной техники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 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(92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4A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8D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8A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44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DD544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35B91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B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8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E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DE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2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