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НОРМИРОВАНИЕ ТОЧНОСТИ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правила и стандарты ТО и ремонта организации-изготовителя АТС;</w:t>
            </w:r>
          </w:p>
          <w:p/>
          <w:p>
            <w:pPr/>
            <w:r>
              <w:rPr/>
              <w:t xml:space="preserve">ПК-2.2. Способен выполнять контроль качества выполнения работ по ТО и ремонту АТС и их компонентов;</w:t>
            </w:r>
          </w:p>
          <w:p/>
          <w:p>
            <w:pPr/>
            <w:r>
              <w:rPr/>
              <w:t xml:space="preserve">ПК-2.3. Способен контролировать соблюдение технологии ТО и ремонта АТС и их компонентов в соответствии с требованиями организации-изготовителя АТС;</w:t>
            </w:r>
          </w:p>
          <w:p/>
          <w:p>
            <w:pPr/>
            <w:r>
              <w:rPr/>
              <w:t xml:space="preserve">ПК-2.4. Способен контролировать эксплуатацию газобаллонного оборудования;</w:t>
            </w:r>
          </w:p>
          <w:p/>
          <w:p>
            <w:pPr/>
            <w:r>
              <w:rPr/>
              <w:t xml:space="preserve">ПК-2.5. Умеет проверять целостность АТС и их компонентов после ТО и ремонта;</w:t>
            </w:r>
          </w:p>
          <w:p/>
          <w:p>
            <w:pPr/>
            <w:r>
              <w:rPr/>
              <w:t xml:space="preserve">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документооборот по гарантийному ремонту автотранспортных средств (АТС)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правила оформления рекламационных актов;</w:t>
            </w:r>
          </w:p>
          <w:p/>
          <w:p>
            <w:pPr/>
            <w:r>
              <w:rPr/>
              <w:t xml:space="preserve">ПК-5.2. Знает номенклатуру запасных частей и расходных материалов;</w:t>
            </w:r>
          </w:p>
          <w:p/>
          <w:p>
            <w:pPr/>
            <w:r>
              <w:rPr/>
              <w:t xml:space="preserve">ПК-5.3. Способен оформлять документацию по установленным формам (рекламационные акты);</w:t>
            </w:r>
          </w:p>
          <w:p/>
          <w:p>
            <w:pPr/>
            <w:r>
              <w:rPr/>
              <w:t xml:space="preserve">ПК-5.4. Способен вести статистику и отчетность по гарантийному ремонту АТС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Нормирование точности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Инженерная графика, Математика.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о точности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система допусков и посадок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геометрических параметров элементов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Технический контроль и рабочие средства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типовых деталей и узлов машиностроения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Параметры, характеризующие геометрическую точность элементов. Причины появления погрешностей геометрических параметров элементов деталей. Основные понятия и термины по взаимозаменяемости.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шероховатостей поверхностей. Основные параметры шероховатости. Стандартные значения параметров шероховатости.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формы и взаимного расположения поверхностей деталей  Общие сведения о допусках формы и расположения. Отклонения формы плоских и цилиндрических поверхностей.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и посадки подшипников качения. Требования к точности подшипников. Допуски подшипников. Требования к посадочным поверхностям.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Шпоночные и шлицевые соединения. Назначение и типы соединений.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Приборы для измерения линейных размеров – штангенинструменты, микрометрические инструменты.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Рычажно-механические измерительные приборы. Дифференциальный метод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система допусков и посадок. Диапазоны и интервалы размеров. Единица допуска. Квалитеты. Основные отклонения. Системы отверстия и вала.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изделий калибрами. Виды калибров и требования к ним.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Эксплуатация транспортно-технологических машин и комплексов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обучения: в специализированных аудиториях ПетрГУ, оснащенных интерактивными досками и программным обеспечением, одновременно с изложением материала демонстрируются фрагменты дистанционного курса "Нормирование точности в машиностроении", разработанного на платформе Moodle. Визуализация с представлением в образной форме рисунков, схем, графиков в позволяет активизировать процесс понимания, усвоения, творческого применения знаний, усиливается мотивация и вовлечённость обучающихся в решение обсуждаемых вопросов. Широко используется контроль самостоятельной подготовки обучающихся, который проводится в виде тестирования. Тесты в электронном виде представлены в дистанционном курсе. Каждый тематический модуль содержит один или несколько тестов, проходя которые обучающиеся проверяют уровень своих знаний, усвоенных на теоретических и практических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Тестирование предусмотрено в каждом тематическом модуле и проводится по завершении изучения модуля. Тесты располагаются в дистанционном курсе "Нормирование точности в машиностроении": </w:t>
      </w:r>
      <w:hyperlink r:id="rId7" w:history="1">
        <w:r>
          <w:rPr/>
          <w:t xml:space="preserve">https://moodle2.petrsu.ru/course/view.php?id=481</w:t>
        </w:r>
      </w:hyperlink>
    </w:p>
    <w:p>
      <w:pPr/>
      <w:r>
        <w:rPr/>
        <w:t xml:space="preserve">Критерии оценивания: тест считается сданным, если представлено не менее 50% правильных ответов. </w:t>
      </w:r>
    </w:p>
    <w:p>
      <w:pPr/>
      <w:r>
        <w:rPr/>
        <w:t xml:space="preserve">Примеры тестовых вопросов из различных тематических модулей:</w:t>
      </w:r>
    </w:p>
    <w:p>
      <w:pPr/>
      <w:r>
        <w:rPr/>
        <w:t xml:space="preserve">            Размеры валов с номинальным размером 68мм должны находиться в пределах 68,045мм и 68,015мм. Чему равны верхнее отклонение es, нижнее отклонение ei и допуск Т?</w:t>
      </w:r>
    </w:p>
    <w:p>
      <w:pPr>
        <w:numPr>
          <w:ilvl w:val="0"/>
          <w:numId w:val="1"/>
        </w:numPr>
      </w:pPr>
      <w:r>
        <w:rPr/>
        <w:t xml:space="preserve">es=+0,015; ei=-0,045; T= 0,060</w:t>
      </w:r>
    </w:p>
    <w:p>
      <w:pPr>
        <w:numPr>
          <w:ilvl w:val="0"/>
          <w:numId w:val="1"/>
        </w:numPr>
      </w:pPr>
      <w:r>
        <w:rPr/>
        <w:t xml:space="preserve">es=-0,015; ei=-0,045; T= 0,030</w:t>
      </w:r>
    </w:p>
    <w:p>
      <w:pPr>
        <w:numPr>
          <w:ilvl w:val="0"/>
          <w:numId w:val="1"/>
        </w:numPr>
      </w:pPr>
      <w:r>
        <w:rPr/>
        <w:t xml:space="preserve">es=+0,045; ei=+0,015; T= 0,030</w:t>
      </w:r>
    </w:p>
    <w:p>
      <w:pPr>
        <w:numPr>
          <w:ilvl w:val="0"/>
          <w:numId w:val="1"/>
        </w:numPr>
      </w:pPr>
      <w:r>
        <w:rPr/>
        <w:t xml:space="preserve">es=+0,045; ei=-0,015; T= 0,060  </w:t>
      </w:r>
    </w:p>
    <w:p>
      <w:pPr/>
      <w:r>
        <w:rPr/>
        <w:t xml:space="preserve">       Что получится в соединении, если разность между наименьшим предельным размером вала и наибольшим предельным размером отверстия положительна?</w:t>
      </w:r>
    </w:p>
    <w:p>
      <w:pPr>
        <w:numPr>
          <w:ilvl w:val="0"/>
          <w:numId w:val="2"/>
        </w:numPr>
      </w:pPr>
      <w:r>
        <w:rPr/>
        <w:t xml:space="preserve">Наименьший натяг</w:t>
      </w:r>
    </w:p>
    <w:p>
      <w:pPr>
        <w:numPr>
          <w:ilvl w:val="0"/>
          <w:numId w:val="2"/>
        </w:numPr>
      </w:pPr>
      <w:r>
        <w:rPr/>
        <w:t xml:space="preserve">Наибольший натяг</w:t>
      </w:r>
    </w:p>
    <w:p>
      <w:pPr>
        <w:numPr>
          <w:ilvl w:val="0"/>
          <w:numId w:val="2"/>
        </w:numPr>
      </w:pPr>
      <w:r>
        <w:rPr/>
        <w:t xml:space="preserve">Наибольший зазор</w:t>
      </w:r>
    </w:p>
    <w:p>
      <w:pPr>
        <w:numPr>
          <w:ilvl w:val="0"/>
          <w:numId w:val="2"/>
        </w:numPr>
      </w:pPr>
      <w:r>
        <w:rPr/>
        <w:t xml:space="preserve">Наименьший зазор</w:t>
      </w:r>
    </w:p>
    <w:p>
      <w:pPr/>
      <w:r>
        <w:rPr/>
        <w:t xml:space="preserve">            В каких случаях наружное или внутреннее кольцо подшипника воспринимает местное нагружение?</w:t>
      </w:r>
    </w:p>
    <w:p>
      <w:pPr>
        <w:numPr>
          <w:ilvl w:val="0"/>
          <w:numId w:val="3"/>
        </w:numPr>
      </w:pPr>
      <w:r>
        <w:rPr/>
        <w:t xml:space="preserve">когда нагрузка на подшипник постоянна  </w:t>
      </w:r>
    </w:p>
    <w:p>
      <w:pPr>
        <w:numPr>
          <w:ilvl w:val="0"/>
          <w:numId w:val="3"/>
        </w:numPr>
      </w:pPr>
      <w:r>
        <w:rPr/>
        <w:t xml:space="preserve">когда нагрузка на подшипник изменяется по величине и направлению  </w:t>
      </w:r>
    </w:p>
    <w:p>
      <w:pPr>
        <w:numPr>
          <w:ilvl w:val="0"/>
          <w:numId w:val="3"/>
        </w:numPr>
      </w:pPr>
      <w:r>
        <w:rPr/>
        <w:t xml:space="preserve">когда вал или корпус, в котором установлено это кольцо подшипника, вращается</w:t>
      </w:r>
    </w:p>
    <w:p>
      <w:pPr>
        <w:numPr>
          <w:ilvl w:val="0"/>
          <w:numId w:val="3"/>
        </w:numPr>
      </w:pPr>
      <w:r>
        <w:rPr/>
        <w:t xml:space="preserve">когда вал или корпус, в котором установлено это кольцо подшипника, не вращается, а радиальная сила постоянна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Точность в машиностроении. Причины появления геометрических погрешностей деталей.</w:t>
      </w:r>
    </w:p>
    <w:p>
      <w:pPr>
        <w:numPr>
          <w:ilvl w:val="0"/>
          <w:numId w:val="4"/>
        </w:numPr>
      </w:pPr>
      <w:r>
        <w:rPr/>
        <w:t xml:space="preserve">Понятие о взаимозаменяемости. Виды взаимозаменяемости. Взаимозаменяемость по геометрическим параметрам.</w:t>
      </w:r>
    </w:p>
    <w:p>
      <w:pPr>
        <w:numPr>
          <w:ilvl w:val="0"/>
          <w:numId w:val="4"/>
        </w:numPr>
      </w:pPr>
      <w:r>
        <w:rPr/>
        <w:t xml:space="preserve">Основные понятия о размерах и отклонениях от них. Графическое изображение размеров и отклонений.</w:t>
      </w:r>
    </w:p>
    <w:p>
      <w:pPr>
        <w:numPr>
          <w:ilvl w:val="0"/>
          <w:numId w:val="4"/>
        </w:numPr>
      </w:pPr>
      <w:r>
        <w:rPr/>
        <w:t xml:space="preserve">Понятие о посадках, зазорах и натягах. Система отверстия и вала. Применение этих систем в машиностроении. Построение схем полей допуска в системе отверстия и вала.</w:t>
      </w:r>
    </w:p>
    <w:p>
      <w:pPr>
        <w:numPr>
          <w:ilvl w:val="0"/>
          <w:numId w:val="4"/>
        </w:numPr>
      </w:pPr>
      <w:r>
        <w:rPr/>
        <w:t xml:space="preserve">Основные положения ЕСДП. Диапазоны и интервалы номинальных размеров. Единицы допуска. Квалитеты.</w:t>
      </w:r>
    </w:p>
    <w:p>
      <w:pPr>
        <w:numPr>
          <w:ilvl w:val="0"/>
          <w:numId w:val="5"/>
        </w:numPr>
      </w:pPr>
      <w:r>
        <w:rPr/>
        <w:t xml:space="preserve">Основные положения ЕСДП. Поля допуска в системе ЕСДП. Основные отклонения. Посадки в системе отверстия и вала.</w:t>
      </w:r>
    </w:p>
    <w:p>
      <w:pPr>
        <w:numPr>
          <w:ilvl w:val="0"/>
          <w:numId w:val="6"/>
        </w:numPr>
      </w:pPr>
      <w:r>
        <w:rPr/>
        <w:t xml:space="preserve">Характеристики и область применения стандартных посадок.</w:t>
      </w:r>
    </w:p>
    <w:p>
      <w:pPr>
        <w:numPr>
          <w:ilvl w:val="0"/>
          <w:numId w:val="6"/>
        </w:numPr>
      </w:pPr>
      <w:r>
        <w:rPr/>
        <w:t xml:space="preserve">Обозначение размеров, предельных отклонений и посадок на чертежах.</w:t>
      </w:r>
    </w:p>
    <w:p>
      <w:pPr>
        <w:numPr>
          <w:ilvl w:val="0"/>
          <w:numId w:val="6"/>
        </w:numPr>
      </w:pPr>
      <w:r>
        <w:rPr/>
        <w:t xml:space="preserve">Влияние качества поверхности на ее эксплуатационные свойства. Нормирование шероховатостей поверхностей.</w:t>
      </w:r>
    </w:p>
    <w:p>
      <w:pPr>
        <w:numPr>
          <w:ilvl w:val="0"/>
          <w:numId w:val="6"/>
        </w:numPr>
      </w:pPr>
      <w:r>
        <w:rPr/>
        <w:t xml:space="preserve">Выбор параметров шероховатости.</w:t>
      </w:r>
    </w:p>
    <w:p>
      <w:pPr>
        <w:numPr>
          <w:ilvl w:val="0"/>
          <w:numId w:val="6"/>
        </w:numPr>
      </w:pPr>
      <w:r>
        <w:rPr/>
        <w:t xml:space="preserve">Обозначение шероховатости поверхности на чертежах. Методы и средства оценки шероховатости.</w:t>
      </w:r>
    </w:p>
    <w:p>
      <w:pPr>
        <w:numPr>
          <w:ilvl w:val="0"/>
          <w:numId w:val="6"/>
        </w:numPr>
      </w:pPr>
      <w:r>
        <w:rPr/>
        <w:t xml:space="preserve">Нормирование точности формы и расположения поверхностей. Основные определения.</w:t>
      </w:r>
    </w:p>
    <w:p>
      <w:pPr>
        <w:numPr>
          <w:ilvl w:val="0"/>
          <w:numId w:val="6"/>
        </w:numPr>
      </w:pPr>
      <w:r>
        <w:rPr/>
        <w:t xml:space="preserve">Отклонения формы. Определения,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Отклонения расположения поверхностей. Определения,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Суммарные отклонения формы и расположения поверхностей, обозначение на чертежах. Зависимый и независимый допуски расположения.</w:t>
      </w:r>
    </w:p>
    <w:p>
      <w:pPr>
        <w:numPr>
          <w:ilvl w:val="0"/>
          <w:numId w:val="6"/>
        </w:numPr>
      </w:pPr>
      <w:r>
        <w:rPr/>
        <w:t xml:space="preserve">Контроль изделий калибрами. Назначение калибров. Принцип Тейлора.</w:t>
      </w:r>
    </w:p>
    <w:p>
      <w:pPr>
        <w:numPr>
          <w:ilvl w:val="0"/>
          <w:numId w:val="6"/>
        </w:numPr>
      </w:pPr>
      <w:r>
        <w:rPr/>
        <w:t xml:space="preserve">Допуски и исполнительные размеры калибров.</w:t>
      </w:r>
    </w:p>
    <w:p>
      <w:pPr>
        <w:numPr>
          <w:ilvl w:val="0"/>
          <w:numId w:val="6"/>
        </w:numPr>
      </w:pPr>
      <w:r>
        <w:rPr/>
        <w:t xml:space="preserve">Показатели точности подшипников качения. Особенности маркировки подшипников качения.</w:t>
      </w:r>
    </w:p>
    <w:p>
      <w:pPr>
        <w:numPr>
          <w:ilvl w:val="0"/>
          <w:numId w:val="6"/>
        </w:numPr>
      </w:pPr>
      <w:r>
        <w:rPr/>
        <w:t xml:space="preserve">Особенности допусков подшипников качения,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Требования к посадочным местам валов и корпусов для посадок подшипников качения.</w:t>
      </w:r>
    </w:p>
    <w:p>
      <w:pPr>
        <w:numPr>
          <w:ilvl w:val="0"/>
          <w:numId w:val="6"/>
        </w:numPr>
      </w:pPr>
      <w:r>
        <w:rPr/>
        <w:t xml:space="preserve">Выбор посадок и особенности монтажа подшипников качения, обозначение посадок на чертежах.</w:t>
      </w:r>
    </w:p>
    <w:p>
      <w:pPr>
        <w:numPr>
          <w:ilvl w:val="0"/>
          <w:numId w:val="6"/>
        </w:numPr>
      </w:pPr>
      <w:r>
        <w:rPr/>
        <w:t xml:space="preserve">Виды резьбовых соединений. Профиль метрической резьбы и его основные параметры.</w:t>
      </w:r>
    </w:p>
    <w:p>
      <w:pPr>
        <w:numPr>
          <w:ilvl w:val="0"/>
          <w:numId w:val="6"/>
        </w:numPr>
      </w:pPr>
      <w:r>
        <w:rPr/>
        <w:t xml:space="preserve">Допуски на параметры метрической резьбы. Диаметральная компенсация погрешностей. Нормы точности на посадки с зазором метрической резьбы  Условное обозначение метрической резьбы на чертежах.</w:t>
      </w:r>
    </w:p>
    <w:p>
      <w:pPr>
        <w:numPr>
          <w:ilvl w:val="0"/>
          <w:numId w:val="6"/>
        </w:numPr>
      </w:pPr>
      <w:r>
        <w:rPr/>
        <w:t xml:space="preserve">Типы шпоночных соединений. Допуски, посадки, обозначение на чертежах.</w:t>
      </w:r>
    </w:p>
    <w:p>
      <w:pPr>
        <w:numPr>
          <w:ilvl w:val="0"/>
          <w:numId w:val="6"/>
        </w:numPr>
      </w:pPr>
      <w:r>
        <w:rPr/>
        <w:t xml:space="preserve">Типовые шлицевые соединения. Методы центрирования, допуски, посадки, обозначения на чертежах.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(14 часjd) и самостоятельную работу студента (94 часf). Перечень и краткое содержание этой работы студенты получают в начале семестра. Самостоятельная работа состоит в дистанционном изучении ряда вопросов дисциплины, выполнении курсовой работы. При выполнении самостоятельной работы обучающиеся используют источники, приведенные в списке литературы, интернет-источники, дистанционный курс «Нормирование точности в машиностроении» с заданиями по самопроверке.</w:t>
      </w:r>
    </w:p>
    <w:p>
      <w:pPr/>
      <w:r>
        <w:rPr/>
        <w:t xml:space="preserve">Аудиторная нагрузка включает следующие виды занятий: лекции, лабораторные занятия. После изучения очередного тематического модуля обучающимся предоставляется доступ к тестовым заданиям, которые находятся в дистанционном курсе "Нормирование точности в машиностроении". Вход в личный кабинет осуществляется по номеру зачётной книжки. </w:t>
      </w:r>
    </w:p>
    <w:p>
      <w:pPr/>
      <w:r>
        <w:rPr/>
        <w:t xml:space="preserve">Экзамен по дисциплине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занятия.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дистанционный курс «Нормирование точности в машиностроении» с заданиями по самопроверке.</w:t>
      </w:r>
    </w:p>
    <w:p>
      <w:pPr/>
      <w:r>
        <w:rPr/>
        <w:t xml:space="preserve">Экзамен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Метрология, стандартизация и сертификация : учебник для студентов вузов, обучающихся по машиностроительным направлениям / [Аристов А. И. [и др.]. - 5-е изд., перераб. - Москва : Академия, 2013. - 414 с.</w:t>
      </w:r>
    </w:p>
    <w:p>
      <w:pPr>
        <w:numPr>
          <w:ilvl w:val="0"/>
          <w:numId w:val="7"/>
        </w:numPr>
      </w:pPr>
      <w:r>
        <w:rPr/>
        <w:t xml:space="preserve">Марков, Н. Н. Нормирование точности в машиностроении : Учебник для студентов машиностроит. специальностей вузов / Н.Н. Марков, В.В. Осипов, М.Б. Шабалина ; Под ред. Ю.М. Соломенцева. - 2-е изд., перераб. и доп. - Москва : Высшая школа : Academia, 2001. - 335 с.</w:t>
      </w:r>
    </w:p>
    <w:p>
      <w:pPr>
        <w:numPr>
          <w:ilvl w:val="0"/>
          <w:numId w:val="7"/>
        </w:numPr>
      </w:pPr>
      <w:r>
        <w:rPr/>
        <w:t xml:space="preserve">Шубин, А. А. Основы нормирования точности в машиностроении : учеб. пособие для студентов инженерных специальностей / А. А. Шубин, Ю. В. Янюк ; Федеральное агентство по образованию, Гос. образовательное учреждение высшего проф. образования Петрозаводский гос. ун-т. - Петрозаводск : Издательство ПетрГУ, 2006. - 166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1. - Изд. 6-е, перераб. и доп. - Москва : Машиностроение, 1982. - 736 с.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2. - Изд. 6-е, перераб. и доп. - Москва : Машиностроение, 1982. - 584 с.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3. - Изд. 6-е, перераб. и доп. - Москва : Машиностроение, 1982. - 576 с.</w:t>
      </w:r>
    </w:p>
    <w:p>
      <w:pPr>
        <w:numPr>
          <w:ilvl w:val="0"/>
          <w:numId w:val="8"/>
        </w:numPr>
      </w:pPr>
      <w:r>
        <w:rPr/>
        <w:t xml:space="preserve">Допуски и посадки : справочник : [в 2-х ч. / В. Д. Мягков [и др.], Ч. 2. - [6-е изд., перераб. и доп.]. - Ленинград : Машиностроение, Ленинградское отделение, 1983. - 447 с.</w:t>
      </w:r>
    </w:p>
    <w:p>
      <w:pPr>
        <w:numPr>
          <w:ilvl w:val="0"/>
          <w:numId w:val="8"/>
        </w:numPr>
      </w:pPr>
      <w:r>
        <w:rPr/>
        <w:t xml:space="preserve">Зайцев, Ю. Ф. Применение стандартов ЕСДП для обеспечения взаимозаменяемости в машиностроении : учеб. пособие / Ю. Ф. Зайцев ; Петрозаводский гос. ун-т - Петрозаводск : Издательство ПетрГУ, 1989. - 88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9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10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1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2"/>
        </w:numPr>
      </w:pPr>
      <w:r>
        <w:rPr/>
        <w:t xml:space="preserve">Нормирование точности в машиностроении [Электронный ресурс]. - Режим доступа: </w:t>
      </w:r>
      <w:hyperlink r:id="rId7" w:history="1">
        <w:r>
          <w:rPr/>
          <w:t xml:space="preserve">https://moodle2.petrsu.ru/course/view.php?id=481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4"/>
        </w:numPr>
      </w:pPr>
      <w:r>
        <w:rPr/>
        <w:t xml:space="preserve">лаборатория технических измерений, ауд. 205, пр. Невского, 58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0A2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40F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EAD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B90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415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C04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BA9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56E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C4A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72A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C80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5AD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22FF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6D2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2026-04-23T20:44:40+03:00</dcterms:created>
  <dcterms:modified xsi:type="dcterms:W3CDTF">2026-04-23T20:44:40+03:00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