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НАУЧНО-МЕТОДИЧЕСКИЕ ОСНОВЫ И ИСТОРИЯ ОХРАНЫ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основы архитектурного анализа и предпректной стадии реставрации архитектурного наследия;</w:t>
            </w:r>
          </w:p>
          <w:p/>
          <w:p>
            <w:pPr/>
            <w:r>
              <w:rPr/>
              <w:t xml:space="preserve">ПК-7.2. Умеет пользоваться основами научно-исследовательских работ;</w:t>
            </w:r>
          </w:p>
          <w:p/>
          <w:p>
            <w:pPr/>
            <w:r>
              <w:rPr/>
              <w:t xml:space="preserve">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Научно-методические основы и история охраны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83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2026-04-21T07:30:54+03:00</dcterms:created>
  <dcterms:modified xsi:type="dcterms:W3CDTF">2026-04-21T07:30:54+03:00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