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НАРОДНОМУ КОСТЮМУ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 по народному костюму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знания и умения в области изучения народного культуры через народный костюм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Изучить основные виды народного костюма</w:t>
      </w:r>
    </w:p>
    <w:p>
      <w:pPr>
        <w:numPr>
          <w:ilvl w:val="0"/>
          <w:numId w:val="1"/>
        </w:numPr>
      </w:pPr>
      <w:r>
        <w:rPr/>
        <w:t xml:space="preserve">Изучить технологические приемы изготовления традиционного костюма.</w:t>
      </w:r>
    </w:p>
    <w:p>
      <w:pPr>
        <w:numPr>
          <w:ilvl w:val="0"/>
          <w:numId w:val="1"/>
        </w:numPr>
      </w:pPr>
      <w:r>
        <w:rPr/>
        <w:t xml:space="preserve">Научиться изготавливать народный костюм по традиционным технологиям.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Способы: стационарная.</w:t>
      </w:r>
    </w:p>
    <w:p>
      <w:pPr/>
      <w:r>
        <w:rPr/>
        <w:t xml:space="preserve">Места практики: лаборатории кафедры.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Педагогическая практика (О), Дизайн костюма (О), Конструирование и моделирование швейных изделий (О), Учебная практика по народному костюму (О), Материаловедение в технологическом образовании (Н), Организация проектно-исследовательской деятельности школьников (О), Основы этнокультурной деятельности в технологическом образовании (О), Технологическая практика (О), Подготовка к сдаче и сдача государственного экзамена (И), Методика обучения в системе дополнительного образования (О), Методика обучения технологии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(О), Методика дипломного проектирования (О), Робототехника (ОИ), Возрастная психология (О), Педагогическая психология (О), Научно-исследовательская работа (курсовое сочинение) (О), Основы взаимозаменяемости и прикладной механики в технологическом образовании (О), Основы машиноведения в технологическом образовании (О), Учебная практика по народному судостроению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(О), Теория и методика творческо-конструкторской деятельности (О), Дизайн костюма (О), Проектирование аксессуаров (О), Учебная практика по технологии обработки пищевых продуктов (И), Художественные украшения из бисера (О), Конструирование и моделирование швейных изделий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(О), Технология пошива швейных изделий (О), Этикет (О), Художественная обработка кожи и меха (О), Обработка текстильных материалов (О), Художественное ткачество (О), Спецрисунок (О), Художественная обработка дерева (О), Основы этнокультурной деятельности в технологическом образовании (О), Учебная практика по вышивке (О), Технологическая практика (НО),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Основы машиноведения в технологическом образовании (О), Технология ремонта и реставрации мебели (О), Современное промышленное производство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
ПК-1.2 Умеет организовывать индивидуальную и совместную учебно-проектную деятельность обучающихся в предметной области Технология
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(НО), Теория и методика творческо-конструкторской деятельности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(Н), Технология пошива швейных изделий (О), Художественная обработка кожи и меха (О), Домашняя экономика (О), Спецрисунок (О), Учебная практика по вышивке (О),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Изготовление сувениров из дерева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
ПК-2.2 Умеет организовывать индивидуальную и совместную учебно-проектной деятельность обучающихся в дополнительном образовании
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Учебная практика по вязанию и макраме (О), Теория и методика творческо-конструкторской деятельности (О), Проектирование аксессуаров (О), Художественные украшения из бисера (О), Учебная практика по народному костюму (О), Фотографика (О), Инженерно-техническое творчество (О), Технология обработки ткани и материаловедение (О), Технология пошива швейных изделий (О), Художественная обработка кожи и меха (О), Современные технологии творчества (Н), Обработка текстильных материалов (О), Художественное ткачество (О), Художественная обработка дерева (О), Учебная практика по вышивке (О), Технологическая практика (НО), Подготовка к сдаче и сдача государственного экзамена (И), Декоративно-прикладное творчество (О), Технология обработки конструкционных материалов (О), Технология ремонта и реставрации мебели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 Знает способы художественной обработки материалов при создании изделий индивидуального и интерьерного значения 
ПК-3.2 Умеет выполнять художественную обработку материалов при создании изделий индивидуального и интерьерного значения
ПК-3.3 Владеет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костюма (О), Конструирование и моделирование швейных изделий (НО), Учебная практика по народному костюму (О), Технология обработки ткани и материаловедение (О), Технология пошива швейных изделий (НО), Спецрисунок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
ПК-4.2 Уменет создавать зарисовки эскизов моделей одежды различного ассортимента, используя основные принципы колористики;
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костюма (ОИ), Учебная практика по народному костюму (О), Технология обработки ткани и материаловедение (О), Технология пошива швейных изделий (О), Обработка текстильных материалов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
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
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народному костюму"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/>
      <w:r>
        <w:rPr/>
        <w:t xml:space="preserve">Согласно учебному плану дисциплина проводится в 9,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Мужской народный костюм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Женский народный костюм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Мужская рубаха.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Порты.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Головной убор.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Аксессуары к костюму (пояс, платок, жилет, обувь)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Женская рубаха.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Сарафан.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Головной убор. Особенности.. Традиционные технологии изготовления.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Аксессуары. Особенности (пояс, платок, жилет, обувь,)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Мужская рубаха. Особенности кроя. Традиционные технологии пошива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Порты.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Головной убор.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Аксессуары. Особенности (пояс, платок, жилет, обувь,)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Женская рубаха. Особенности кроя. Традиционные технологии пошива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Сарафан. Особенности кроя. Традиционные технологии пошива.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Головной убор. Особенности.. Традиционные технологии изготовления.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Аксессуары. Особенности (пояс, платок, жилет, обувь,)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изучении дисциплины "Учебная практика по народному костюму" реализуется компетентностный подход , что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  предусмотрены встречи с матерами,  мастер-классы ремесленников.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</w:rPr>
        <w:t xml:space="preserve">для самостоятельной работы</w:t>
      </w:r>
    </w:p>
    <w:p>
      <w:pPr/>
      <w:r>
        <w:rPr/>
        <w:t xml:space="preserve">Цель освоения дисциплины «Народный костюм» - формирование у обучающихся базовых знаний по традиционным технологиям в декоративно-прикладном творчестве. Для успешного освоения дисциплины «Народный костюм» необходимо обладать компетенциями, приобретенными в результате освоения дисциплин декоративно-прикладного творчества предыдущих учебных курсов.</w:t>
      </w:r>
    </w:p>
    <w:p>
      <w:pPr/>
      <w:r>
        <w:rPr/>
        <w:t xml:space="preserve">Форма промежуточной аттестации – Экзамен.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практических занятиях обучающиеся выполняют индивидуальные творческие задания в соответствии с вопросами тематических разделов, указанные в разделе 3.3.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 экзамену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проводится в форме защиты творческого задания.</w:t>
      </w:r>
    </w:p>
    <w:p>
      <w:pPr/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Форма промежуточной аттестации – экзамен.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В результате освоения данной учебной дисциплины обучающийся должен знать теорию и практику традиционных технологий творчества. Обучающийся должен иметь представление об традиционных технологиях творчества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–практические занятия. Практические занятия проводятся в мастерских -аудиториях университета, оборудованных мультимедийной техникой и др. оборудованием.</w:t>
      </w:r>
    </w:p>
    <w:p>
      <w:pPr/>
      <w:r>
        <w:rPr/>
        <w:t xml:space="preserve">На практических занятиях обучающиеся выполняют индивидуальные творческие задания Подготовка к практическим занятиям осуществляется в рамках запланированной самостоятельной работы согласно разделу 3.4 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творческого задания.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>
          <w:b w:val="1"/>
          <w:bCs w:val="1"/>
        </w:rPr>
        <w:t xml:space="preserve">Критерии оценивания защиты выполненного проекта:</w:t>
      </w:r>
    </w:p>
    <w:p>
      <w:pPr>
        <w:numPr>
          <w:ilvl w:val="0"/>
          <w:numId w:val="2"/>
        </w:numPr>
      </w:pPr>
      <w:r>
        <w:rPr/>
        <w:t xml:space="preserve">Качество доклада: композиция, полнота представления работы, подходов, результатов; аргументированность, объем тезауруса, убедительность и убежденность.</w:t>
      </w:r>
    </w:p>
    <w:p>
      <w:pPr>
        <w:numPr>
          <w:ilvl w:val="0"/>
          <w:numId w:val="2"/>
        </w:numPr>
      </w:pPr>
      <w:r>
        <w:rPr/>
        <w:t xml:space="preserve">Объем и глубина знаний по теме (или предмету), эруди­цию, межпредметные связи.</w:t>
      </w:r>
    </w:p>
    <w:p>
      <w:pPr>
        <w:numPr>
          <w:ilvl w:val="0"/>
          <w:numId w:val="2"/>
        </w:numPr>
      </w:pPr>
      <w:r>
        <w:rPr/>
        <w:t xml:space="preserve">Педагогическая ориентация: культура речи, манера, ис­пользование наглядных средств, чувство времени, импровиза­ционное начало, удержание внимания аудитории.</w:t>
      </w:r>
    </w:p>
    <w:p>
      <w:pPr>
        <w:numPr>
          <w:ilvl w:val="0"/>
          <w:numId w:val="2"/>
        </w:numPr>
      </w:pPr>
      <w:r>
        <w:rPr/>
        <w:t xml:space="preserve">Ответы на вопросы: полнота, аргументированность, убедительность и убежденность, дружелюбие, стремление ис­пользовать ответы для успешного раскрытия темы и сильных сторон проекта.</w:t>
      </w:r>
    </w:p>
    <w:p>
      <w:pPr/>
      <w:r>
        <w:rPr/>
        <w:t xml:space="preserve">Деловые и волевые качества докладчика: ответствен­ное отношение, стремление к достижению высоких результа­тов, готовность к дискуссии, способность работать с перегруз­кой, доброжелательность, контактность</w:t>
      </w:r>
    </w:p>
    <w:p>
      <w:pPr/>
      <w:r>
        <w:rPr/>
        <w:t xml:space="preserve"> Промежуточная аттестация проводится в виде: экзамен</w:t>
      </w:r>
    </w:p>
    <w:p>
      <w:pPr/>
      <w:r>
        <w:rPr/>
        <w:t xml:space="preserve">Экзаменационным заданием является выполнение  проекта – «Народный костюм» это 5 готовых изделий (рубаха, сарафан, головной убор, фартук, пояс).</w:t>
      </w:r>
    </w:p>
    <w:p>
      <w:pPr/>
      <w:r>
        <w:rPr>
          <w:b w:val="1"/>
          <w:bCs w:val="1"/>
        </w:rPr>
        <w:t xml:space="preserve">Проект оценивается по следующим критериям:</w:t>
      </w:r>
    </w:p>
    <w:p>
      <w:pPr/>
      <w:r>
        <w:rPr/>
        <w:t xml:space="preserve">Исследовательская проработка материала</w:t>
      </w:r>
    </w:p>
    <w:p>
      <w:pPr/>
      <w:r>
        <w:rPr/>
        <w:t xml:space="preserve">Выразительность графического языка (эскизы), композиционное решение, образность, цветовое решение</w:t>
      </w:r>
    </w:p>
    <w:p>
      <w:pPr/>
      <w:r>
        <w:rPr/>
        <w:t xml:space="preserve">Технология и качество выполнения практической работы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3"/>
        </w:numPr>
      </w:pPr>
      <w:r>
        <w:rPr/>
        <w:t xml:space="preserve">Леонова, Н.Н. Русский народныйкостюм: знакомство детей с историей и культурой России : учебное пособие / Н.Н. Леонова. - Москва : Владос, 2018. - 145 с. - (Дополнительное образование детей). - Библиогр. в кн. - ISBN 978-5-906992-98-7 ; То же [Электронный ресурс]. - URL: </w:t>
      </w:r>
      <w:hyperlink r:id="rId7" w:history="1">
        <w:r>
          <w:rPr/>
          <w:t xml:space="preserve">http://biblioclub.ru/index.php?page=book&amp;id=486115</w:t>
        </w:r>
      </w:hyperlink>
      <w:r>
        <w:rPr/>
        <w:t xml:space="preserve"> (12.07.2019).</w:t>
      </w:r>
    </w:p>
    <w:p>
      <w:pPr>
        <w:numPr>
          <w:ilvl w:val="0"/>
          <w:numId w:val="3"/>
        </w:numPr>
      </w:pPr>
      <w:r>
        <w:rPr/>
        <w:t xml:space="preserve">Цветкова, Н.Н. История текстильного искусства и костюма. Древний мир : учебное пособие / Н.Н. Цветкова. - Санкт-Петербург : Издательство «СПбКО», 2010. - 120 с. - ISBN 978-5-903983-16-2 ; То же [Электронный ресурс]. - URL: </w:t>
      </w:r>
      <w:hyperlink r:id="rId8" w:history="1">
        <w:r>
          <w:rPr/>
          <w:t xml:space="preserve">http://biblioclub.ru/index.php?page=book&amp;id=209999</w:t>
        </w:r>
      </w:hyperlink>
      <w:r>
        <w:rPr/>
        <w:t xml:space="preserve"> (12.07.2019).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>
          <w:b w:val="1"/>
          <w:bCs w:val="1"/>
        </w:rPr>
        <w:t xml:space="preserve"> 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Панкова, С. Г. (педагог; Центр развития творчества детей и юношества). Русский народный костюм / Панкова С. Г. [Текст] //</w:t>
      </w:r>
      <w:hyperlink r:id="rId9" w:history="1">
        <w:r>
          <w:rPr/>
          <w:t xml:space="preserve">Дополнительное образование и воспитание. - 2012. - № 3. - С. 49-52</w:t>
        </w:r>
      </w:hyperlink>
      <w:r>
        <w:rPr/>
        <w:t xml:space="preserve"> </w:t>
      </w:r>
      <w:r>
        <w:rPr/>
        <w:t xml:space="preserve">. - (Внеклассное занятие) </w:t>
      </w:r>
      <w:r>
        <w:rPr>
          <w:i w:val="1"/>
          <w:iCs w:val="1"/>
        </w:rPr>
        <w:t xml:space="preserve">Сценарий мероприятия, посвященного русскому народному костюму. (Из опыта работы педагога).</w:t>
      </w:r>
    </w:p>
    <w:p>
      <w:pPr>
        <w:numPr>
          <w:ilvl w:val="0"/>
          <w:numId w:val="4"/>
        </w:numPr>
      </w:pPr>
      <w:r>
        <w:rPr/>
        <w:t xml:space="preserve">Костюхин, Е. А. Русский народный костюм / Е. А. Костюхин //</w:t>
      </w:r>
      <w:hyperlink r:id="rId10" w:history="1">
        <w:r>
          <w:rPr/>
          <w:t xml:space="preserve">Русская литература. - 2006. - N 2. - С.3-21</w:t>
        </w:r>
      </w:hyperlink>
      <w:r>
        <w:rPr/>
        <w:t xml:space="preserve">  </w:t>
      </w:r>
      <w:r>
        <w:rPr>
          <w:i w:val="1"/>
          <w:iCs w:val="1"/>
        </w:rPr>
        <w:t xml:space="preserve">Русский народный роман как неотъемлемая часть традиционной народной культуры.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12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4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5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6" w:history="1">
        <w:r>
          <w:rPr/>
          <w:t xml:space="preserve">http://www.sci-lib.com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E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63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48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7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6115" TargetMode="External"/><Relationship Id="rId8" Type="http://schemas.openxmlformats.org/officeDocument/2006/relationships/hyperlink" Target="http://biblioclub.ru/index.php?page=book&amp;id=209999" TargetMode="External"/><Relationship Id="rId9" Type="http://schemas.openxmlformats.org/officeDocument/2006/relationships/hyperlink" Target="http://foliant.ru/catalog/psulibr?BOOK_UP+0005A1+48E5FC+-1+-1" TargetMode="External"/><Relationship Id="rId10" Type="http://schemas.openxmlformats.org/officeDocument/2006/relationships/hyperlink" Target="http://foliant.ru/catalog/psulibr?BOOK_UP+000605+1D4EE7+-1+-1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entlibrary.ru" TargetMode="External"/><Relationship Id="rId15" Type="http://schemas.openxmlformats.org/officeDocument/2006/relationships/hyperlink" Target="http://library.petrsu.ru/collections/bd.shtml" TargetMode="External"/><Relationship Id="rId16" Type="http://schemas.openxmlformats.org/officeDocument/2006/relationships/hyperlink" Target="http://www.sci-lib.com" TargetMode="External"/><Relationship Id="rId1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2026-04-21T07:44:52+03:00</dcterms:created>
  <dcterms:modified xsi:type="dcterms:W3CDTF">2026-04-21T07:44:52+03:00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