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ЭТНОКУЛЬТУРНОЙ ДЕЯТЕЛЬНОСТИ В ТЕХНОЛОГИЧЕСКОМ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Власова Ирина Анатольевна, доцент, кафедра технологии, изобразительного искусства и дизайна; руководитель лаборатории, Молодежная лаборатория "Технология, искусство, дизайн"; руководитель, Экспозиционно-образовательный центр,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творческую разработку эскизов изделий одежды из тканей различного ассортимента с учетом тенденций моды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Выполнение и защита выпускной квалификационной работы (И), Дизайн костюма (О), Конструирование и моделирование швейных изделий (НО), Учебная практика по народному костюму (О), Технология обработки ткани и материаловедение (О), Технология пошива швейных изделий (НО), Спецрисунок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 Знает технологию разработки эскизов моделей одежды различного ассортимента, используя технику рисунка и живописи,  а также современные графические редакторы и программы;</w:t>
            </w:r>
          </w:p>
          <w:p/>
          <w:p>
            <w:pPr/>
            <w:r>
              <w:rPr/>
              <w:t xml:space="preserve">ПК-4.2 Уменет создавать зарисовки эскизов моделей одежды различного ассортимента, используя основные принципы колористики;</w:t>
            </w:r>
          </w:p>
          <w:p/>
          <w:p>
            <w:pPr/>
            <w:r>
              <w:rPr/>
              <w:t xml:space="preserve">ПК-4.3 Владеет приемами построения конструктивных решений моделей одежды различного ассортимента с учетом модных тенденций.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костюма (ОИ), Учебная практика по народному костюму (О), Технология обработки ткани и материаловедение (О), Технология пошива швейных изделий (О), Обработка текстильных материалов (О), Основы этнокультурной деятельности в технологическом образовании (О), Технологическая практика (НО),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</w:t>
            </w:r>
          </w:p>
          <w:p/>
          <w:p>
            <w:pPr/>
            <w:r>
              <w:rPr/>
              <w:t xml:space="preserve">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</w:t>
            </w:r>
          </w:p>
          <w:p/>
          <w:p>
            <w:pPr/>
            <w:r>
              <w:rPr/>
              <w:t xml:space="preserve">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этнокультурной деятельности в технологическом образовании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Спецрисунок, Черчение в школе.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этнокультуру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Этнокультурный компонент в современном образовании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структура этнокультурного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Этномоделирование 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Этномоделирование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этно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освоения дисциплины предусмотрены встречи с представителями различных компаний, государственных и общественных организаций, лекции-встречи со специалистами, работодателями. Базовые образовательные технологии: метод проектов, проблемное изложение учебного материала, методы поиска решений творческих задач.</w:t>
      </w:r>
    </w:p>
    <w:p>
      <w:pPr>
        <w:numPr>
          <w:ilvl w:val="0"/>
          <w:numId w:val="1"/>
        </w:numPr>
      </w:pPr>
      <w:r>
        <w:rPr/>
        <w:t xml:space="preserve">изучение аналогов по печатным источникам и интернету и музейным коллекциям</w:t>
      </w:r>
    </w:p>
    <w:p>
      <w:pPr>
        <w:numPr>
          <w:ilvl w:val="0"/>
          <w:numId w:val="1"/>
        </w:numPr>
      </w:pPr>
      <w:r>
        <w:rPr/>
        <w:t xml:space="preserve">посещение музеев и выставок</w:t>
      </w:r>
    </w:p>
    <w:p>
      <w:pPr>
        <w:numPr>
          <w:ilvl w:val="0"/>
          <w:numId w:val="1"/>
        </w:numPr>
      </w:pPr>
      <w:r>
        <w:rPr/>
        <w:t xml:space="preserve">консультации с мастерами декоративно-прикладного искусства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творческое задание;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Текстиль и костюм Древнего Египта</w:t>
      </w:r>
    </w:p>
    <w:p>
      <w:pPr>
        <w:numPr>
          <w:ilvl w:val="0"/>
          <w:numId w:val="2"/>
        </w:numPr>
      </w:pPr>
      <w:r>
        <w:rPr/>
        <w:t xml:space="preserve">Текстиль Ассиро-Вавилонии</w:t>
      </w:r>
    </w:p>
    <w:p>
      <w:pPr>
        <w:numPr>
          <w:ilvl w:val="0"/>
          <w:numId w:val="2"/>
        </w:numPr>
      </w:pPr>
      <w:r>
        <w:rPr/>
        <w:t xml:space="preserve">Текстиль Древней Греции</w:t>
      </w:r>
    </w:p>
    <w:p>
      <w:pPr>
        <w:numPr>
          <w:ilvl w:val="0"/>
          <w:numId w:val="2"/>
        </w:numPr>
      </w:pPr>
      <w:r>
        <w:rPr/>
        <w:t xml:space="preserve">Особенности текстиля скифов и сарматов. Звериный стиль</w:t>
      </w:r>
    </w:p>
    <w:p>
      <w:pPr>
        <w:numPr>
          <w:ilvl w:val="0"/>
          <w:numId w:val="2"/>
        </w:numPr>
      </w:pPr>
      <w:r>
        <w:rPr/>
        <w:t xml:space="preserve">Текстиль Древнего Рима</w:t>
      </w:r>
    </w:p>
    <w:p>
      <w:pPr>
        <w:numPr>
          <w:ilvl w:val="0"/>
          <w:numId w:val="2"/>
        </w:numPr>
      </w:pPr>
      <w:r>
        <w:rPr/>
        <w:t xml:space="preserve">Текстиль Древней Индии</w:t>
      </w:r>
    </w:p>
    <w:p>
      <w:pPr>
        <w:numPr>
          <w:ilvl w:val="0"/>
          <w:numId w:val="2"/>
        </w:numPr>
      </w:pPr>
      <w:r>
        <w:rPr/>
        <w:t xml:space="preserve">Текстиль Древнего Китая</w:t>
      </w:r>
    </w:p>
    <w:p>
      <w:pPr>
        <w:numPr>
          <w:ilvl w:val="0"/>
          <w:numId w:val="2"/>
        </w:numPr>
      </w:pPr>
      <w:r>
        <w:rPr/>
        <w:t xml:space="preserve">Особенности текстиля Индонезии</w:t>
      </w:r>
    </w:p>
    <w:p>
      <w:pPr>
        <w:numPr>
          <w:ilvl w:val="0"/>
          <w:numId w:val="2"/>
        </w:numPr>
      </w:pPr>
      <w:r>
        <w:rPr/>
        <w:t xml:space="preserve">Текстиль Америки</w:t>
      </w:r>
    </w:p>
    <w:p>
      <w:pPr/>
      <w:r>
        <w:rPr/>
        <w:t xml:space="preserve">Доклад должен сопровождаться презентацией, содержащей иллюстративный ряд по теме в необходимом и достаточном количестве для формирования зрительных образов у слушателей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(зачтено/незачтено)</w:t>
      </w:r>
    </w:p>
    <w:p>
      <w:pPr/>
      <w:r>
        <w:rPr/>
        <w:t xml:space="preserve">За подготовку доклада студент может получить от 3 до 5 баллов в зависимости от полноты раскрытия темы.</w:t>
      </w:r>
    </w:p>
    <w:p>
      <w:pPr/>
      <w:r>
        <w:rPr/>
        <w:t xml:space="preserve">«5»: студент логично излагает материал, адекватно и глубоко раскрывает содержание, владеет необходимыми знаниями, обосновывает теоретические положения, сопоставляет их с практикой, способен обобщить и сформулировать обоснованные выводы, грамотно пользуется терминологией.</w:t>
      </w:r>
    </w:p>
    <w:p>
      <w:pPr/>
      <w:r>
        <w:rPr/>
        <w:t xml:space="preserve">«4»: студент достаточно полно раскрывает содержание; рассматривает проблему на достаточном теоретическом уровне, обобщает материал, формулирует выводы, анализирует фактический материал, но затрудняется самостоятельно привести примеры из практики, прогнозирует проблемы, приводит распространенные способы их разрешения. Допускает неточности в использовании терминологии.</w:t>
      </w:r>
    </w:p>
    <w:p>
      <w:pPr/>
      <w:r>
        <w:rPr/>
        <w:t xml:space="preserve">«3»: студент владеет содержанием дисциплины, испытывает затруднения в обосновании теоретических положений. Описательно излагает основное содержание, допускает существенные ошибки в использовании терминологии. Студент затрудняется в формулировании собственной аргументированной позиции при оценке практики, затрудняется в прогнозировании проблем, в прогнозировании распространенных способов их разрешения.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Тема: Разработка ленточных орнаментов</w:t>
      </w:r>
    </w:p>
    <w:p>
      <w:pPr/>
      <w:r>
        <w:rPr/>
        <w:t xml:space="preserve">Выполнить четыре варианта ленточных орнаментов, используя композиционные схемы, основанные на применении геометрических преобразований: симметрии, параллельного переноса, поворота</w:t>
      </w:r>
    </w:p>
    <w:p>
      <w:pPr/>
      <w:r>
        <w:rPr>
          <w:b w:val="1"/>
          <w:bCs w:val="1"/>
          <w:i w:val="1"/>
          <w:iCs w:val="1"/>
        </w:rPr>
        <w:t xml:space="preserve">Требования к оформлению:</w:t>
      </w:r>
    </w:p>
    <w:p>
      <w:pPr>
        <w:numPr>
          <w:ilvl w:val="0"/>
          <w:numId w:val="3"/>
        </w:numPr>
      </w:pPr>
      <w:r>
        <w:rPr/>
        <w:t xml:space="preserve">Задание выполняется на листах формата А3. Для предварительного построения могут быть использованы чертежные принадлежности. Для каждого варианта орнамента должно быть предложено два варианта решения: черно/белое (тоновое) и цветное (двух-, трехцветное). Цветовые решения выполняются гуашевыми красками .</w:t>
      </w:r>
    </w:p>
    <w:p>
      <w:pPr>
        <w:numPr>
          <w:ilvl w:val="0"/>
          <w:numId w:val="3"/>
        </w:numPr>
      </w:pPr>
      <w:r>
        <w:rPr/>
        <w:t xml:space="preserve">Каждый лист должен иметь подпись выполненную на компьютере с указанием: Наименование дисциплины, Фамилия И.О. студента, Номер группы, Год обучения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(зачтено/незачтено):</w:t>
      </w:r>
    </w:p>
    <w:p>
      <w:pPr>
        <w:numPr>
          <w:ilvl w:val="0"/>
          <w:numId w:val="4"/>
        </w:numPr>
      </w:pPr>
      <w:r>
        <w:rPr/>
        <w:t xml:space="preserve">разработано четыре варианта ленточного орнамента</w:t>
      </w:r>
    </w:p>
    <w:p>
      <w:pPr>
        <w:numPr>
          <w:ilvl w:val="0"/>
          <w:numId w:val="4"/>
        </w:numPr>
      </w:pPr>
      <w:r>
        <w:rPr/>
        <w:t xml:space="preserve">разработанные орнаменты представлены в двух цветовых решениях (четно-белый и цветной)</w:t>
      </w:r>
    </w:p>
    <w:p>
      <w:pPr>
        <w:numPr>
          <w:ilvl w:val="0"/>
          <w:numId w:val="4"/>
        </w:numPr>
      </w:pPr>
      <w:r>
        <w:rPr/>
        <w:t xml:space="preserve">эскизы выполнены аккуратно без помарок</w:t>
      </w:r>
    </w:p>
    <w:p>
      <w:pPr>
        <w:numPr>
          <w:ilvl w:val="0"/>
          <w:numId w:val="4"/>
        </w:numPr>
      </w:pPr>
      <w:r>
        <w:rPr/>
        <w:t xml:space="preserve">соблюдены требования к оформлению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Тема: Разработка сетчатых орнаментов. </w:t>
      </w:r>
    </w:p>
    <w:p>
      <w:pPr/>
      <w:r>
        <w:rPr/>
        <w:t xml:space="preserve">Разработать три сетчатых орнамента, используя разные способы заполнения ячеек сеток изображениями: разобщенные, пересекающиеся и плотно прилегающие друг к другу, заполняющие пространство без промежутков. Сетчатые орнаменты должны быть построены на основе разбиения плоскости на равные правильные многоугольники с использованием параллельного переноса в одном, двух или трех направлениях схем ленточных орнаментов.</w:t>
      </w:r>
    </w:p>
    <w:p>
      <w:pPr/>
      <w:r>
        <w:rPr>
          <w:b w:val="1"/>
          <w:bCs w:val="1"/>
          <w:i w:val="1"/>
          <w:iCs w:val="1"/>
        </w:rPr>
        <w:t xml:space="preserve">Требования к оформлению:</w:t>
      </w:r>
    </w:p>
    <w:p>
      <w:pPr>
        <w:numPr>
          <w:ilvl w:val="0"/>
          <w:numId w:val="5"/>
        </w:numPr>
      </w:pPr>
      <w:r>
        <w:rPr/>
        <w:t xml:space="preserve">Задание выполняется на листах формата А3. Для предварительного построения могут быть использованы чертежные принадлежности.</w:t>
      </w:r>
    </w:p>
    <w:p>
      <w:pPr>
        <w:numPr>
          <w:ilvl w:val="0"/>
          <w:numId w:val="5"/>
        </w:numPr>
      </w:pPr>
      <w:r>
        <w:rPr/>
        <w:t xml:space="preserve">Для каждого варианта орнамента должно быть предложено два варианта решения: черно/белое (тональное) и цветное (двух-, трехцветное). Цветовые решения выполняются гуашевыми красками .</w:t>
      </w:r>
    </w:p>
    <w:p>
      <w:pPr>
        <w:numPr>
          <w:ilvl w:val="0"/>
          <w:numId w:val="5"/>
        </w:numPr>
      </w:pPr>
      <w:r>
        <w:rPr/>
        <w:t xml:space="preserve">Каждый лист должен иметь подпись выполненную на компьютере с указанием: Наименование дисциплины, Фамилия И.О. студента, Номер группы, Год обучения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(зачтено/незачтено):</w:t>
      </w:r>
    </w:p>
    <w:p>
      <w:pPr>
        <w:numPr>
          <w:ilvl w:val="0"/>
          <w:numId w:val="6"/>
        </w:numPr>
      </w:pPr>
      <w:r>
        <w:rPr/>
        <w:t xml:space="preserve">разработано три варианта сетчатого орнамента</w:t>
      </w:r>
    </w:p>
    <w:p>
      <w:pPr>
        <w:numPr>
          <w:ilvl w:val="0"/>
          <w:numId w:val="6"/>
        </w:numPr>
      </w:pPr>
      <w:r>
        <w:rPr/>
        <w:t xml:space="preserve">разработанные орнаменты представлены в двух цветовых решениях (четно-белый и цветной)</w:t>
      </w:r>
    </w:p>
    <w:p>
      <w:pPr>
        <w:numPr>
          <w:ilvl w:val="0"/>
          <w:numId w:val="6"/>
        </w:numPr>
      </w:pPr>
      <w:r>
        <w:rPr/>
        <w:t xml:space="preserve">эскизы выполнены аккуратно без помарок</w:t>
      </w:r>
    </w:p>
    <w:p>
      <w:pPr>
        <w:numPr>
          <w:ilvl w:val="0"/>
          <w:numId w:val="6"/>
        </w:numPr>
      </w:pPr>
      <w:r>
        <w:rPr/>
        <w:t xml:space="preserve">соблюдены требования к оформлению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  <w:i w:val="1"/>
          <w:iCs w:val="1"/>
        </w:rPr>
        <w:t xml:space="preserve">Тема: Разработка геометрического , растительного, зоо- или антропоморфного орнамента розетки.</w:t>
      </w:r>
    </w:p>
    <w:p>
      <w:pPr/>
      <w:r>
        <w:rPr/>
        <w:t xml:space="preserve">Используя геометрические построения, закономерные линии, законы симметрии, построить орнамент розетку четырех типов</w:t>
      </w:r>
    </w:p>
    <w:p>
      <w:pPr/>
      <w:r>
        <w:rPr>
          <w:b w:val="1"/>
          <w:bCs w:val="1"/>
          <w:i w:val="1"/>
          <w:iCs w:val="1"/>
        </w:rPr>
        <w:t xml:space="preserve">Требования к оформлению:</w:t>
      </w:r>
    </w:p>
    <w:p>
      <w:pPr/>
      <w:r>
        <w:rPr/>
        <w:t xml:space="preserve">• Задание выполняется на белых листах формата А3 черной гелевой ручкой. Для предварительного построения могут быть использованы чертежные принадлежности. Цветовые решения выполняются гуашевыми красками.</w:t>
      </w:r>
      <w:br/>
      <w:r>
        <w:rPr/>
        <w:t xml:space="preserve">• Каждый лист должен иметь подпись выполненную на компьютере с указанием: Наименование дисциплины, Фамилия И.О. студента, Номер группы, Год обучения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 (зачтено/незачтено):</w:t>
      </w:r>
    </w:p>
    <w:p>
      <w:pPr/>
      <w:r>
        <w:rPr/>
        <w:t xml:space="preserve">• применены композиционные схемы: ассиметричная, с одной плоскостью симметрии, с несколькими плоскостями симметрии, с осью симметрии</w:t>
      </w:r>
      <w:br/>
      <w:r>
        <w:rPr/>
        <w:t xml:space="preserve">• для каждой схемы разработано четыре варианта эскиза : с использованием упрощения и стилизации (2 варианта); черно-белое тональное решение; цветовое решение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Зачет проводится в форме защиты проекта</w:t>
      </w:r>
    </w:p>
    <w:p>
      <w:pPr/>
      <w:r>
        <w:rPr/>
        <w:t xml:space="preserve">На защите автор должен представить:</w:t>
      </w:r>
      <w:br/>
      <w:r>
        <w:rPr/>
        <w:t xml:space="preserve">• концептуальную основу проекта,</w:t>
      </w:r>
      <w:br/>
      <w:r>
        <w:rPr/>
        <w:t xml:space="preserve">• творческий источник</w:t>
      </w:r>
      <w:br/>
      <w:r>
        <w:rPr/>
        <w:t xml:space="preserve">• технологическую основу проекта</w:t>
      </w:r>
      <w:br/>
      <w:r>
        <w:rPr/>
        <w:t xml:space="preserve">• аргументировано обосновать собственное видение темы</w:t>
      </w:r>
    </w:p>
    <w:p>
      <w:pPr/>
    </w:p>
    <w:p>
      <w:pPr/>
      <w:r>
        <w:rPr>
          <w:b w:val="1"/>
          <w:bCs w:val="1"/>
        </w:rPr>
        <w:t xml:space="preserve">Критерии оценивания:</w:t>
      </w:r>
    </w:p>
    <w:p>
      <w:pPr>
        <w:numPr>
          <w:ilvl w:val="0"/>
          <w:numId w:val="7"/>
        </w:numPr>
      </w:pPr>
      <w:r>
        <w:rPr/>
        <w:t xml:space="preserve">Технологичность будущего изделия – подобраны материалы, составлены технологические карты.</w:t>
      </w:r>
    </w:p>
    <w:p>
      <w:pPr>
        <w:numPr>
          <w:ilvl w:val="0"/>
          <w:numId w:val="7"/>
        </w:numPr>
      </w:pPr>
      <w:r>
        <w:rPr/>
        <w:t xml:space="preserve">Временные затраты – задание выполняется в срок в отведенное время учебных занятий и самостоятельной работы, до начала экзаменационной сессии.</w:t>
      </w:r>
    </w:p>
    <w:p>
      <w:pPr>
        <w:numPr>
          <w:ilvl w:val="0"/>
          <w:numId w:val="7"/>
        </w:numPr>
      </w:pPr>
      <w:r>
        <w:rPr/>
        <w:t xml:space="preserve">Качество выполнения – проект выполнен аккуратно, оформлен в соответствие с требованиями</w:t>
      </w:r>
    </w:p>
    <w:p>
      <w:pPr>
        <w:numPr>
          <w:ilvl w:val="0"/>
          <w:numId w:val="7"/>
        </w:numPr>
      </w:pPr>
      <w:r>
        <w:rPr/>
        <w:t xml:space="preserve">Соблюдение правил техники безопасности</w:t>
      </w:r>
    </w:p>
    <w:p>
      <w:pPr>
        <w:numPr>
          <w:ilvl w:val="0"/>
          <w:numId w:val="7"/>
        </w:numPr>
      </w:pPr>
      <w:r>
        <w:rPr/>
        <w:t xml:space="preserve">Творчество – проект должен иметь художественную ценность, допускается не более 30% заимствования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реферат, творческое задание.</w:t>
      </w:r>
    </w:p>
    <w:p>
      <w:pPr/>
      <w:r>
        <w:rPr/>
        <w:t xml:space="preserve"> 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1) Реферат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Примерная тематика рефератов:</w:t>
      </w:r>
    </w:p>
    <w:p>
      <w:pPr>
        <w:numPr>
          <w:ilvl w:val="0"/>
          <w:numId w:val="8"/>
        </w:numPr>
      </w:pPr>
      <w:r>
        <w:rPr/>
        <w:t xml:space="preserve">Этнокультура и этнос</w:t>
      </w:r>
    </w:p>
    <w:p>
      <w:pPr>
        <w:numPr>
          <w:ilvl w:val="0"/>
          <w:numId w:val="8"/>
        </w:numPr>
      </w:pPr>
      <w:r>
        <w:rPr/>
        <w:t xml:space="preserve">Этническая и национальная культура</w:t>
      </w:r>
    </w:p>
    <w:p>
      <w:pPr>
        <w:numPr>
          <w:ilvl w:val="0"/>
          <w:numId w:val="8"/>
        </w:numPr>
      </w:pPr>
      <w:r>
        <w:rPr/>
        <w:t xml:space="preserve">Этнокультура и национальное самосознание</w:t>
      </w:r>
    </w:p>
    <w:p>
      <w:pPr>
        <w:numPr>
          <w:ilvl w:val="0"/>
          <w:numId w:val="8"/>
        </w:numPr>
      </w:pPr>
      <w:r>
        <w:rPr/>
        <w:t xml:space="preserve">Этнокультура и её трансформация в современном мире</w:t>
      </w:r>
    </w:p>
    <w:p>
      <w:pPr>
        <w:numPr>
          <w:ilvl w:val="0"/>
          <w:numId w:val="8"/>
        </w:numPr>
      </w:pPr>
      <w:r>
        <w:rPr/>
        <w:t xml:space="preserve">Этническая культура в глобальном мире</w:t>
      </w:r>
    </w:p>
    <w:p>
      <w:pPr>
        <w:numPr>
          <w:ilvl w:val="0"/>
          <w:numId w:val="8"/>
        </w:numPr>
      </w:pPr>
      <w:r>
        <w:rPr/>
        <w:t xml:space="preserve">Этнокультурное образование и воспитание в школе</w:t>
      </w:r>
    </w:p>
    <w:p>
      <w:pPr>
        <w:numPr>
          <w:ilvl w:val="0"/>
          <w:numId w:val="8"/>
        </w:numPr>
      </w:pPr>
      <w:r>
        <w:rPr/>
        <w:t xml:space="preserve">Этнокультурное образование и воспитание в вузе</w:t>
      </w:r>
    </w:p>
    <w:p>
      <w:pPr>
        <w:numPr>
          <w:ilvl w:val="0"/>
          <w:numId w:val="8"/>
        </w:numPr>
      </w:pPr>
      <w:r>
        <w:rPr/>
        <w:t xml:space="preserve">Непрерывность процесса этнокультурного образования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выставляется, если реферат выполнен в полном объёме, содержание соответствует заявленной тематике, структура полностью выдержана.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 - реферат не выполнен или выполнен не в полном объеме.</w:t>
      </w:r>
    </w:p>
    <w:p>
      <w:pPr/>
      <w:r>
        <w:rPr>
          <w:b w:val="1"/>
          <w:bCs w:val="1"/>
        </w:rPr>
        <w:t xml:space="preserve">2) Творческое задание</w:t>
      </w:r>
    </w:p>
    <w:p>
      <w:pPr/>
      <w:r>
        <w:rPr/>
        <w:t xml:space="preserve">Творческое задание представляет собой выполнение (изготовление) творческого технического объекта - этномодели (предпочтительные материалы: древесина и металлы).</w:t>
      </w:r>
      <w:br/>
      <w:br/>
    </w:p>
    <w:p>
      <w:pPr/>
      <w:r>
        <w:rPr>
          <w:b w:val="1"/>
          <w:bCs w:val="1"/>
        </w:rPr>
        <w:t xml:space="preserve">Критерии оценивания творческого задания: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выставляется, если творческое задание выполнено в полном объёме, качественно и в срок.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 - творческое задание не выполнено или выполнено не в полном объеме.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  <w:i w:val="1"/>
          <w:iCs w:val="1"/>
        </w:rPr>
        <w:t xml:space="preserve">Методические рекомендации по выполнению заданий для практической и самостоятельной работы</w:t>
      </w:r>
    </w:p>
    <w:p>
      <w:pPr>
        <w:numPr>
          <w:ilvl w:val="0"/>
          <w:numId w:val="9"/>
        </w:numPr>
      </w:pPr>
      <w:r>
        <w:rPr/>
        <w:t xml:space="preserve">При подготовке докладов следует разрабатывать презентацию с иллюстративным рядом по теме доклада.</w:t>
      </w:r>
    </w:p>
    <w:p>
      <w:pPr>
        <w:numPr>
          <w:ilvl w:val="0"/>
          <w:numId w:val="9"/>
        </w:numPr>
      </w:pPr>
      <w:r>
        <w:rPr/>
        <w:t xml:space="preserve">При разработке орнамента необходимо учитывать его предназначение, материал, из которого он будет изготовлен или прорисован.</w:t>
      </w:r>
    </w:p>
    <w:p>
      <w:pPr>
        <w:numPr>
          <w:ilvl w:val="0"/>
          <w:numId w:val="9"/>
        </w:numPr>
      </w:pPr>
      <w:r>
        <w:rPr/>
        <w:t xml:space="preserve">При разработке ленточный и сетчатых орнаментов можно использовать ранее разработанные мотивы.</w:t>
      </w:r>
    </w:p>
    <w:p>
      <w:pPr>
        <w:numPr>
          <w:ilvl w:val="0"/>
          <w:numId w:val="9"/>
        </w:numPr>
      </w:pPr>
      <w:r>
        <w:rPr/>
        <w:t xml:space="preserve">Выполнение одного из вариантов сетчатого орнамента возможно по типу эшеровских мозаик.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  <w:i w:val="1"/>
          <w:iCs w:val="1"/>
        </w:rPr>
        <w:t xml:space="preserve">Технология проведения текущего контроля успеваемости и промежуточной аттестации обучающихся с учетом балльно-рейтинговой системы оценки качества освоения дисциплины</w:t>
      </w:r>
    </w:p>
    <w:p>
      <w:pPr/>
      <w:r>
        <w:rPr/>
        <w:t xml:space="preserve">Критериально-диагностическая матрица дисциплины отражает логику изучения дисциплины с учетом балльно-рейтинговой системы и позволяет преподавателю самостоятельно устанавливать минимальное и максимальное количество баллов, которое может получить студент за весь период изучения дисциплины (не более 100). Оценке подвергаются различные виды деятельности студента (посещение, выполнение контрольных работ, тестовых и индивидуальных заданий, доклады, типовые задания, самостоятельная работа и пр.). Обязательные виды учебой деятельности оцениваются не более 90% от максимального количества баллов. Минимальное количество баллов для текущей аттестации составляет не менее 60% от максимального количества баллов и должно соответствовать оценке «3» (удовлетворительно). При получении меньшей суммы баллов студент не допускается к итоговой (промежуточной) аттестации. Дополнительный модуль дает студенту возможность повысить свой общий балл и должен составлять не более 10% от максимального количества баллов. Преподаватель может корректировать систему баллов по дисциплине ежегодно.</w:t>
      </w:r>
    </w:p>
    <w:p>
      <w:pPr/>
      <w:r>
        <w:rPr/>
        <w:t xml:space="preserve">Заработанные студентом баллы переводятся в 5-балльную систему или систему «зачет-незачет» и заносятся в экзаменационную ведомость и зачетную книжку.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1"/>
          <w:numId w:val="10"/>
        </w:numPr>
      </w:pPr>
      <w:r>
        <w:rPr/>
        <w:t xml:space="preserve">Башлай, О.В. Организация и руководство народным художественным творчеством: учебное пособие / О.В. Башлай;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Ставрополь: СКФУ, 2015. - 295 с.</w:t>
      </w:r>
    </w:p>
    <w:p>
      <w:pPr>
        <w:numPr>
          <w:ilvl w:val="1"/>
          <w:numId w:val="10"/>
        </w:numPr>
      </w:pPr>
      <w:r>
        <w:rPr/>
        <w:t xml:space="preserve">Тропин, В.Ф. Техническое</w:t>
      </w:r>
      <w:r>
        <w:rPr/>
        <w:t xml:space="preserve"> </w:t>
      </w:r>
      <w:r>
        <w:rPr/>
        <w:t xml:space="preserve"> творчество</w:t>
      </w:r>
      <w:r>
        <w:rPr/>
        <w:t xml:space="preserve"> </w:t>
      </w:r>
      <w:r>
        <w:rPr/>
        <w:t xml:space="preserve"> как</w:t>
      </w:r>
      <w:r>
        <w:rPr/>
        <w:t xml:space="preserve"> </w:t>
      </w:r>
      <w:r>
        <w:rPr/>
        <w:t xml:space="preserve"> фактор</w:t>
      </w:r>
      <w:r>
        <w:rPr/>
        <w:t xml:space="preserve"> </w:t>
      </w:r>
      <w:r>
        <w:rPr/>
        <w:t xml:space="preserve"> развития технологической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этнокультурном</w:t>
      </w:r>
      <w:r>
        <w:rPr/>
        <w:t xml:space="preserve"> </w:t>
      </w:r>
      <w:r>
        <w:rPr/>
        <w:t xml:space="preserve"> образовании: монография</w:t>
      </w:r>
      <w:r>
        <w:rPr/>
        <w:t xml:space="preserve"> </w:t>
      </w:r>
      <w:r>
        <w:rPr/>
        <w:t xml:space="preserve"> / В.Ф. Тропин, А.А. Талых, В.И. Сопин. – Петрозаводск: </w:t>
      </w:r>
      <w:r>
        <w:rPr/>
        <w:t xml:space="preserve">VERSO</w:t>
      </w:r>
      <w:r>
        <w:rPr/>
        <w:t xml:space="preserve">, 2006. – 70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1"/>
          <w:numId w:val="11"/>
        </w:numPr>
      </w:pPr>
      <w:r>
        <w:rPr/>
        <w:t xml:space="preserve">Талых А.А. Народное судостроение Карелии. Часть 1: монография [Текст] / А.А.Талых, Ю.М.Наумов, С.П.Королёв. - Петрозаводск: ПетрГУ, 2015. - 87с.</w:t>
      </w:r>
    </w:p>
    <w:p>
      <w:pPr>
        <w:numPr>
          <w:ilvl w:val="1"/>
          <w:numId w:val="11"/>
        </w:numPr>
      </w:pPr>
      <w:r>
        <w:rPr/>
        <w:t xml:space="preserve">Талых А.А. Народное судостроение Карелии. Часть 2: монография [Текст] / А.А.Талых, Ю.М. Наумов, С.П. Королев. - Петрозаводск: ПетрГУ, 2015. - 64 с.</w:t>
      </w:r>
    </w:p>
    <w:p>
      <w:pPr>
        <w:numPr>
          <w:ilvl w:val="1"/>
          <w:numId w:val="11"/>
        </w:numPr>
      </w:pPr>
      <w:r>
        <w:rPr/>
        <w:t xml:space="preserve">Тропин, В.Ф. Проектирование системы этномоделирования народных музыкальных инструментов на основе национально-регионального компонента в профессионально-технологической подготовке студентов педагогического вуза: монография.– Петрозаводск: </w:t>
      </w:r>
      <w:r>
        <w:rPr/>
        <w:t xml:space="preserve">Verso</w:t>
      </w:r>
      <w:r>
        <w:rPr/>
        <w:t xml:space="preserve"> 2006. – 78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>
        <w:numPr>
          <w:ilvl w:val="0"/>
          <w:numId w:val="14"/>
        </w:numPr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текстильная мастерская с комплектом оборудования УЛК 11, каб.341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E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8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3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7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8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A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7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C7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6D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41F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67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B1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C76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C6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2026-04-23T20:43:28+03:00</dcterms:created>
  <dcterms:modified xsi:type="dcterms:W3CDTF">2026-04-23T20:43:28+03:00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