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и организации строительства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ЭНЕРГОЭФФЕКТИВНОСТЬ И РЕСУРСОСБЕРЕЖЕНИЕ В СТРОИТЕЛЬСТВЕ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08.04.01 Строительство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«Промышленное, гражданское и дорожное строительство»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31.05.2017 № 482 (с изменениями от 26.11.2020 №1456) и учебным планом по направлению подготовки магистратуры 08.04.01 Строительство  (профиль «Промышленное, гражданское и дорожное строительство»).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Графова Елена Олеговна, профессор, кафедра технологии и организации строительства; профессор, отдел подготовки и аттестации НПР; руководитель, Инновационно-технологический центр разработки и внедрения новых технологий и инвестиционных проектов в лесопромышленном и горном комплексах, доктор технических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Способность выполнять и организовывать научные исследования объектов промышленного, гражданского и дорожного строительства</w:t>
            </w:r>
          </w:p>
        </w:tc>
        <w:tc>
          <w:tcPr>
            <w:tcW w:w="3100" w:type="dxa"/>
            <w:noWrap/>
          </w:tcPr>
          <w:p>
            <w:pPr/>
            <w:r>
              <w:rPr/>
              <w:t xml:space="preserve">ПК-3.1. Формулирование целей, постановка задач исследования в сфере ПГиДС;</w:t>
            </w:r>
          </w:p>
          <w:p/>
          <w:p>
            <w:pPr/>
            <w:r>
              <w:rPr/>
              <w:t xml:space="preserve">ПК-3.2. Выбор метода и/или методики проведения исследований в сфере ПГиДС;</w:t>
            </w:r>
          </w:p>
          <w:p/>
          <w:p>
            <w:pPr/>
            <w:r>
              <w:rPr/>
              <w:t xml:space="preserve">ПК-3.3. Составление технического задания, плана и программы исследований объекта ПГиДС; </w:t>
            </w:r>
          </w:p>
          <w:p/>
          <w:p>
            <w:pPr/>
            <w:r>
              <w:rPr/>
              <w:t xml:space="preserve">ПК-3.4. Определение перечня ресурсов, необходимых для проведения исследования;</w:t>
            </w:r>
          </w:p>
          <w:p/>
          <w:p>
            <w:pPr/>
            <w:r>
              <w:rPr/>
              <w:t xml:space="preserve">ПК-3.5. Составление аналитического обзора научно-технической информации в сфере ПГиДС;</w:t>
            </w:r>
          </w:p>
          <w:p/>
          <w:p>
            <w:pPr/>
            <w:r>
              <w:rPr/>
              <w:t xml:space="preserve">ПК-3.6. Разработка математических моделей исследуемых объектов;</w:t>
            </w:r>
          </w:p>
          <w:p/>
          <w:p>
            <w:pPr/>
            <w:r>
              <w:rPr/>
              <w:t xml:space="preserve">ПК-3.7. Проведение математического моделирования объектов ПГиДС в соответствии с его методикой;</w:t>
            </w:r>
          </w:p>
          <w:p/>
          <w:p>
            <w:pPr/>
            <w:r>
              <w:rPr/>
              <w:t xml:space="preserve">ПК-3.8. Обработка и систематизация результатов исследования, описывающих поведение исследуемого объекта;</w:t>
            </w:r>
          </w:p>
          <w:p/>
          <w:p>
            <w:pPr/>
            <w:r>
              <w:rPr/>
              <w:t xml:space="preserve">ПК-3.9. Оформление аналитических научно-технических отчетов по результатам исследования;</w:t>
            </w:r>
          </w:p>
          <w:p/>
          <w:p>
            <w:pPr/>
            <w:r>
              <w:rPr/>
              <w:t xml:space="preserve">ПК-3.10. Представление и защита результатов проведённых научных исследований, подготовка публикаций на основе принципов научной этики;</w:t>
            </w:r>
          </w:p>
          <w:p/>
          <w:p>
            <w:pPr/>
            <w:r>
              <w:rPr/>
              <w:t xml:space="preserve">ПК-3.11. Контроль соблюдения требований охраны труда при выполнении исследований.</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Энергоэффективность и ресурсосбережение в строительстве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Энергоэффективность и ресурсосбережение в строительстве</w:t>
            </w:r>
          </w:p>
        </w:tc>
        <w:tc>
          <w:tcPr>
            <w:noWrap/>
          </w:tcPr>
          <w:p>
            <w:pPr>
              <w:jc w:val="left"/>
              <w:ind w:left="0" w:right="0" w:firstLine="0" w:hanging="0"/>
            </w:pPr>
            <w:r>
              <w:rPr/>
              <w:t xml:space="preserve">108</w:t>
            </w:r>
          </w:p>
        </w:tc>
        <w:tc>
          <w:tcPr>
            <w:noWrap/>
          </w:tcPr>
          <w:p>
            <w:pPr>
              <w:jc w:val="left"/>
              <w:ind w:left="0" w:right="0" w:firstLine="0" w:hanging="0"/>
            </w:pPr>
            <w:r>
              <w:rPr/>
              <w:t xml:space="preserve">4</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92</w:t>
            </w:r>
          </w:p>
        </w:tc>
        <w:tc>
          <w:tcPr>
            <w:noWrap/>
          </w:tcPr>
          <w:p>
            <w:pPr>
              <w:jc w:val="left"/>
              <w:ind w:left="0" w:right="0" w:firstLine="0" w:hanging="0"/>
            </w:pPr>
            <w:r>
              <w:rPr/>
              <w:t xml:space="preserve">Собеседование;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4</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92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Законодательная и нормативная правовая база энергосбережения и повышения энергетической эффективности в России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Энергетическое обследование и энергоаудит</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положения Государственной программы Российской Федерации «Энергосбережение и повышение энергетической эффективности&amp;quot;</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Нормативно-правовая и методическая база энергосбережения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Системы энергоменеджмента - SO 50001</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Энергосервисные компании и энергосервисные контракты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Физические проявления энергосбережения.  Тепловые потери зданий и сооружений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Учет и контроль потребляемых ресурсов. Выбор адекватных методов и средств учета энергии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литературы на тему: аконодательная и нормативная правовая база энергосбережения и повышения энергетической эффективности России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литературы на тему: Энергосервисный контракт.  Экономические и информационные аспекты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литературу на тему: теплопроводность, конвективный теплообмен, тепловое изучение, тепловая изоляция.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литературу на тему: расчетные и приборные методы учеты тепловой энергии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литературу на тему: Энергетическое обследование и энергоаудит.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литературу на тему: епловой баланс зданий и сооружений, предприятий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литературу на тему: типовые мероприятия по повышению эффективности потребления тепловой и электрической энергии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литературу на тему: создание энергетического паспорта и отчета о проведении энергетического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литературу на тему: методы повышения энергоэффективности зданий и сооружений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литературы на тему: автоматизированная система комплексного учёта топливно-энергетических ресурсов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литературу на тему: использование возобновляемых источников энергии и вторичных</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Лекция-диалог. </w:t>
      </w:r>
    </w:p>
    <w:p>
      <w:pPr/>
      <w:r>
        <w:rPr/>
        <w:t xml:space="preserve">Содержание подается через серию вопросов, на которые слушатель должен отвечать непосредственно в ходе лекции. К этому типу примыкает лекция с применением техники обратной связи, а также программированная лекция-консультация.</w:t>
      </w:r>
    </w:p>
    <w:p>
      <w:pPr/>
      <w:r>
        <w:rPr/>
        <w:t xml:space="preserve">Использование технических средств обучения и средств наглядности при чтении лекции В процессе чтения лекций требуется использование средств наглядности. Как уже говорилось, это, прежде всего слайд-презентация, которая может осуществляться с помощью программы </w:t>
      </w:r>
      <w:r>
        <w:rPr/>
        <w:t xml:space="preserve">Microsoft</w:t>
      </w:r>
      <w:r>
        <w:rPr/>
        <w:t xml:space="preserve"> </w:t>
      </w:r>
      <w:r>
        <w:rPr/>
        <w:t xml:space="preserve">Power</w:t>
      </w:r>
      <w:r>
        <w:rPr/>
        <w:t xml:space="preserve"> </w:t>
      </w:r>
      <w:r>
        <w:rPr/>
        <w:t xml:space="preserve">Point</w:t>
      </w:r>
      <w:r>
        <w:rPr/>
        <w:t xml:space="preserve">, которая входит в офисный пакет </w:t>
      </w:r>
      <w:r>
        <w:rPr/>
        <w:t xml:space="preserve">Windows</w:t>
      </w:r>
      <w:r>
        <w:rPr/>
        <w:t xml:space="preserve">, а также мультимедийного проектора или электронной доски (</w:t>
      </w:r>
      <w:r>
        <w:rPr/>
        <w:t xml:space="preserve">smartboard</w:t>
      </w:r>
      <w:r>
        <w:rPr/>
        <w:t xml:space="preserve">). Преподаватель может использовать во время лекции и ресурсы Интернета, но для этого необходимо, чтобы в аудитории или в классе имелся к нему доступ. Разумеется, все это не исключает использования </w:t>
      </w:r>
      <w:r>
        <w:rPr/>
        <w:t xml:space="preserve">CD</w:t>
      </w:r>
      <w:r>
        <w:rPr/>
        <w:t xml:space="preserve">- или </w:t>
      </w:r>
      <w:r>
        <w:rPr/>
        <w:t xml:space="preserve">DVD</w:t>
      </w:r>
      <w:r>
        <w:rPr/>
        <w:t xml:space="preserve">-ресурсов, а также традиционных средств наглядности, таких, как демонстрационная таблица или обычная доска, если это оправдано решаемой в данный момент дидактической задачей.</w:t>
      </w: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w:t>
      </w:r>
    </w:p>
    <w:p>
      <w:pPr/>
      <w:r>
        <w:rPr/>
        <w:t xml:space="preserve">Оценочные средства для текущего контроля.</w:t>
      </w:r>
    </w:p>
    <w:p>
      <w:pPr/>
      <w:r>
        <w:rPr/>
        <w:t xml:space="preserve">Собеседование</w:t>
      </w: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t xml:space="preserve"> </w:t>
      </w:r>
      <w:r>
        <w:rPr>
          <w:b w:val="1"/>
          <w:bCs w:val="1"/>
        </w:rPr>
        <w:t xml:space="preserve">«Не зачтено»</w:t>
      </w:r>
      <w:r>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
      <w:pPr/>
      <w:r>
        <w:rPr/>
        <w:t xml:space="preserve">5.2. Промежуточная аттестация проводится в виде:</w:t>
      </w:r>
    </w:p>
    <w:p/>
    <w:p>
      <w:pPr/>
      <w:r>
        <w:rPr/>
        <w:t xml:space="preserve">Экзамен</w:t>
      </w:r>
    </w:p>
    <w:p>
      <w:pPr/>
      <w:r>
        <w:rPr/>
        <w:t xml:space="preserve">Оценка </w:t>
      </w:r>
      <w:r>
        <w:rPr>
          <w:b w:val="1"/>
          <w:bCs w:val="1"/>
        </w:rPr>
        <w:t xml:space="preserve">«отлично»</w:t>
      </w:r>
      <w:r>
        <w:rPr/>
        <w:t xml:space="preserve"> выставляется обучающемуся, если он владеет знаниями предмета в полном объеме учебной программы, достаточно глубоко осмысливает дисциплину; самостоятельно, в логической последовательности и исчерпывающе отвечает на все вопросы, подчеркивает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 четко формирует ответы.</w:t>
      </w:r>
    </w:p>
    <w:p>
      <w:pPr/>
      <w:r>
        <w:rPr/>
        <w:t xml:space="preserve">Оценка </w:t>
      </w:r>
      <w:r>
        <w:rPr>
          <w:b w:val="1"/>
          <w:bCs w:val="1"/>
        </w:rPr>
        <w:t xml:space="preserve">«хорошо»</w:t>
      </w:r>
      <w:r>
        <w:rPr/>
        <w:t xml:space="preserve"> выставляется обучающемуся, если он владеет знаниями дисциплины почти в полном объеме программы (имеются пробелы знаний только в некоторых, особенно сложных разделах); самостоятельно и отчасти при наводящих вопросах дает полноценные ответы на вопросы; не всегда выделяет наиболее существенное, не допускает вместе с тем серьезных ошибок в ответах.</w:t>
      </w:r>
    </w:p>
    <w:p>
      <w:pPr/>
      <w:r>
        <w:rPr/>
        <w:t xml:space="preserve">Оценка </w:t>
      </w:r>
      <w:r>
        <w:rPr>
          <w:b w:val="1"/>
          <w:bCs w:val="1"/>
        </w:rPr>
        <w:t xml:space="preserve">«удовлетворительно»</w:t>
      </w:r>
      <w:r>
        <w:rPr/>
        <w:t xml:space="preserve"> выставляется обучающемуся, если он владеет основным объемом знаний по дисциплине; проявляет затруднения в самостоятельных ответах, оперирует неточными формулировками; в процессе ответов допускает ошибки по существу вопросов.</w:t>
      </w:r>
    </w:p>
    <w:p>
      <w:pPr/>
      <w:r>
        <w:rPr/>
        <w:t xml:space="preserve">Оценка </w:t>
      </w:r>
      <w:r>
        <w:rPr>
          <w:b w:val="1"/>
          <w:bCs w:val="1"/>
        </w:rPr>
        <w:t xml:space="preserve">«неудовлетворительно»</w:t>
      </w:r>
      <w:r>
        <w:rPr/>
        <w:t xml:space="preserve"> выставляется обучающемуся, если он не освоил обязательного минимума знаний предмета, не способен ответить на вопросы даже при дополнительных наводящих вопросах экзаменатора.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обучающихся является наиболее продуктивной формой образовательной и познавательной деятельности обучающегося в период обучения. Текущая самостоятельная работа направлена на углубление и закрепление знаний обучающихся, развитие практических умений. Текущая самостоятельная работа включает в себя: работу с лекционным материалом, подготовку к практическим работам, опережающую самостоятельную работу, подготовку к промежуточной аттестации и зачету.</w:t>
      </w:r>
    </w:p>
    <w:p>
      <w:pPr/>
      <w:r>
        <w:rPr/>
        <w:t xml:space="preserve">Контроль самостоятельной работы обучающихся и качество освоения дисциплины осуществляется посредством:</w:t>
      </w:r>
    </w:p>
    <w:p>
      <w:pPr/>
      <w:r>
        <w:rPr/>
        <w:t xml:space="preserve">- опроса обучающегося вначале лекционных занятий;</w:t>
      </w:r>
    </w:p>
    <w:p>
      <w:pPr/>
      <w:r>
        <w:rPr/>
        <w:t xml:space="preserve">- защит практических работ;</w:t>
      </w:r>
    </w:p>
    <w:p>
      <w:pPr/>
      <w:r>
        <w:rPr/>
        <w:t xml:space="preserve">- проведения контрольных опросов.</w:t>
      </w:r>
    </w:p>
    <w:p>
      <w:pPr/>
      <w:r>
        <w:rPr/>
        <w:t xml:space="preserve">Обучающиеся, для достаточного освоения теоретического материала по дисциплине должны:</w:t>
      </w:r>
    </w:p>
    <w:p>
      <w:pPr/>
      <w:r>
        <w:rPr/>
        <w:t xml:space="preserve">- ознакомиться с перечнем вопросов, указанных в теме и изучить их по конспекту лекций с учетом пометок в конспекте;</w:t>
      </w:r>
    </w:p>
    <w:p>
      <w:pPr/>
      <w:r>
        <w:rPr/>
        <w:t xml:space="preserve">- выбрать источник из списка литературы, если по данной теме недостаточно материала в конспекте лекций;</w:t>
      </w:r>
    </w:p>
    <w:p>
      <w:pPr/>
      <w:r>
        <w:rPr/>
        <w:t xml:space="preserve">- проверить полученные теоретические знания с помощью промежуточных контрольных опросов.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Методические рекомендации для преподавателя по освоению дисциплины – это свод указаний, обеспечивающих навигацию преподавателя в процессе преподавания дисциплины, раскрывающих средства, методы, приемы, формы обучения. Особое внимание при подготовке необходимо уделить первому практическому занятию, где обучающимся закладываются основные принципы и методы освоения дисциплины «Охрана труда». На первом занятие обучающимся необходимо пояснить критерии их оценки и требования, предъявляемые к ним, ознакомить их с методическими рекомендациями по изучению дисциплины для обучающихся, а также представить им список основной и дополнительно литературы по дисциплине.</w:t>
      </w:r>
    </w:p>
    <w:p>
      <w:pPr/>
      <w:r>
        <w:rPr/>
        <w:t xml:space="preserve">Перед каждым практическим занятием обучающиеся должны получать задания для выполнения, а также преподавателю необходимо пояснять ход выполнения заданий для самостоятельной работы. Преподавателю следует избегать однообразной формы проведения практических занятий, поскольку это препятствует освоению различных компетенций обучающихся. Практические занятия могут проводиться как в классической форме разбора проблемных вопросов, так и в форме тренингов, деловых игр, ответов обучающихся с докладом, разбор видео и аудио-ситуаций.</w:t>
      </w:r>
    </w:p>
    <w:p>
      <w:pPr/>
      <w:r>
        <w:rPr/>
        <w:t xml:space="preserve">Для максимального усвоения дисциплины рекомендуется проведение письменного опроса (решение задач) студентов по материалам лекций и практических работ. Подборка вопросов для тестирования осуществляется на основе изученного теоретического материала. Такой подход позволяет повысить мотивацию обучающихся при конспектировании лекционного материала. Дисциплина «Охрана труда» является практикоориентированной, для развития прикладных навыков решения проблемных вопросов рекомендовано изучать с обучающимися разделы курса с помощью кейс-методик, что позволяет практически применять полученные знания. Кейс-технологии (ситуационные задачи) это тот инструмент, с помощью которого значительно облегчается и качественно улучшается обмен идеями в группе. Ситуационные задачи базируются на реальной информации, однако, как правило, при разработке кейсов используются условные названия и фактические данные могут быть несколько изменены.</w:t>
      </w:r>
      <w:r>
        <w:rPr/>
        <w:t xml:space="preserve">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Щелоков Я.М., Данилов Н.И. Энергетическое обследование: Том 1. Теплоэнергетика. Справочное издание. Екатеринбург: УрФУ, 2011. 264 с.</w:t>
      </w:r>
      <w:br/>
      <w:r>
        <w:rPr/>
        <w:t xml:space="preserve">2. Фокин В.М. Основы энергосбережения и энергоаудит. М., 2006</w:t>
      </w:r>
      <w:br/>
      <w:r>
        <w:rPr/>
        <w:t xml:space="preserve">3. Методические материалы по вопросам энергосбережения (для бюджетных учреждений), департамент энергетики и газификации Кировской области КОГУП «Агенство энергосбережения», Киров, 2009г.</w:t>
      </w:r>
      <w:br/>
      <w:r>
        <w:rPr/>
        <w:t xml:space="preserve">4. Махов Л.М., Григорьев И.В. Технологические принципы регулирования и автоматизации</w:t>
      </w:r>
    </w:p>
    <w:p>
      <w:pPr/>
      <w:r>
        <w:rPr/>
        <w:t xml:space="preserve">5. Сканави А. Н., Махов Л. М. Отопление / Учебник для вузов. – М.: Изд. АСВ, 2006.</w:t>
      </w:r>
      <w:br/>
      <w:r>
        <w:rPr/>
        <w:t xml:space="preserve">267</w:t>
      </w:r>
      <w:br/>
      <w:r>
        <w:rPr/>
        <w:t xml:space="preserve">6. СНиП 41-01-2003. Отопление, вентиляция и кондиционирование / Госстрой России. – М.: ГУП ЦПП, 2004. 7. СНиП 23-01-99. Строительная климатология / Госстрой России. – М.: ГУП ЦПП, 2000</w:t>
      </w:r>
    </w:p>
    <w:p>
      <w:pPr/>
      <w:r>
        <w:rPr/>
        <w:t xml:space="preserve">7. Фокин В.М. Основы энергосбережения и энергоаудита. М.: «Издательство Машиностроение-1», 2006. 256 с.</w:t>
      </w:r>
      <w:br/>
      <w:r>
        <w:rPr/>
        <w:t xml:space="preserve">2. Тепломассообмен и теплотехнический эксперимент: Справочник / Под общ. ред. В.А. Григорьева и В.М. Зорина. М.: Энергоиздат, 1982. 512 с.</w:t>
      </w:r>
    </w:p>
    <w:p>
      <w:pPr>
        <w:jc w:val="both"/>
        <w:ind w:left="0" w:right="0" w:firstLine="570" w:hanging="0"/>
        <w:spacing w:before="240" w:after="240"/>
      </w:pPr>
      <w:r>
        <w:rPr>
          <w:b w:val="1"/>
          <w:bCs w:val="1"/>
        </w:rPr>
        <w:t xml:space="preserve">8.2. Дополнительная литература:</w:t>
      </w:r>
    </w:p>
    <w:p>
      <w:pPr/>
      <w:r>
        <w:rPr/>
        <w:t xml:space="preserve">1. Системы автоматического регулирования отоплением: [Электронный ресурс]: Режим доступа к ст.: http://www.tpmby.com/page/sistemy-avtomaticheskogo-regulirovaniya-otopleniem</w:t>
      </w:r>
      <w:br/>
      <w:r>
        <w:rPr/>
        <w:t xml:space="preserve">2. Автоматизированная система комплексного учёта топливно-энергетических ресурсов: [Электронный ресурс]: Режим доступа к ст.: http://www.omsis.ru/main.php?id=26</w:t>
      </w:r>
      <w:br/>
      <w:r>
        <w:rPr/>
        <w:t xml:space="preserve">3. Богословский В.Н., Сканави А.Н. Отопление: Учебник для вузов. М.: Стройиздат, 1991, 735 с.</w:t>
      </w:r>
    </w:p>
    <w:p>
      <w:pPr/>
      <w:r>
        <w:rPr/>
        <w:t xml:space="preserve">4. Методические указания по расчету норм расхода ТЭР для зданий жилищно-гражданского назначения - М.: ОНТИ АКХ им. К.Д. Памфилова, 1987. - 42 с.</w:t>
      </w:r>
    </w:p>
    <w:p>
      <w:pPr/>
      <w:r>
        <w:rPr/>
        <w:t xml:space="preserve">5. Фокин В.М. Основы энергосбережения и энергоаудита. М.: «Издательство Машиностроение-1», 2006. 256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
        </w:numPr>
      </w:pPr>
      <w:r>
        <w:rPr/>
        <w:t xml:space="preserve">Электронная библиотека Республики Карелия </w:t>
      </w:r>
      <w:r>
        <w:rPr/>
        <w:t xml:space="preserve">http</w:t>
      </w:r>
      <w:r>
        <w:rPr/>
        <w:t xml:space="preserve">://</w:t>
      </w:r>
      <w:r>
        <w:rPr/>
        <w:t xml:space="preserve">elibrary</w:t>
      </w:r>
      <w:r>
        <w:rPr/>
        <w:t xml:space="preserve">.</w:t>
      </w:r>
      <w:r>
        <w:rPr/>
        <w:t xml:space="preserve">karelia</w:t>
      </w:r>
      <w:r>
        <w:rPr/>
        <w:t xml:space="preserve">.</w:t>
      </w:r>
      <w:r>
        <w:rPr/>
        <w:t xml:space="preserve">ru</w:t>
      </w:r>
      <w:r>
        <w:rPr/>
        <w:t xml:space="preserve">/</w:t>
      </w:r>
    </w:p>
    <w:p>
      <w:pPr>
        <w:numPr>
          <w:ilvl w:val="0"/>
          <w:numId w:val="1"/>
        </w:numPr>
      </w:pPr>
      <w:r>
        <w:rPr/>
        <w:t xml:space="preserve">Электронная библиотечная система «Университетская библиотека онлайн» </w:t>
      </w:r>
      <w:r>
        <w:rPr/>
        <w:t xml:space="preserve">http</w:t>
      </w:r>
      <w:r>
        <w:rPr/>
        <w:t xml:space="preserve">://</w:t>
      </w:r>
      <w:r>
        <w:rPr/>
        <w:t xml:space="preserve">biblioclub</w:t>
      </w:r>
      <w:r>
        <w:rPr/>
        <w:t xml:space="preserve">.</w:t>
      </w:r>
      <w:r>
        <w:rPr/>
        <w:t xml:space="preserve">ru</w:t>
      </w:r>
      <w:r>
        <w:rPr/>
        <w:t xml:space="preserve">/</w:t>
      </w:r>
    </w:p>
    <w:p>
      <w:pPr>
        <w:numPr>
          <w:ilvl w:val="0"/>
          <w:numId w:val="1"/>
        </w:numPr>
      </w:pPr>
      <w:r>
        <w:rPr/>
        <w:t xml:space="preserve">Электронная библиотечная система «Консультант студента. Студенческая электронная библиотека» </w:t>
      </w:r>
      <w:r>
        <w:rPr/>
        <w:t xml:space="preserve">http</w:t>
      </w:r>
      <w:r>
        <w:rPr/>
        <w:t xml:space="preserve">://</w:t>
      </w:r>
      <w:r>
        <w:rPr/>
        <w:t xml:space="preserve">www</w:t>
      </w:r>
      <w:r>
        <w:rPr/>
        <w:t xml:space="preserve">.</w:t>
      </w:r>
      <w:r>
        <w:rPr/>
        <w:t xml:space="preserve">studentlibrary</w:t>
      </w:r>
      <w:r>
        <w:rPr/>
        <w:t xml:space="preserve">.</w:t>
      </w:r>
      <w:r>
        <w:rPr/>
        <w:t xml:space="preserve">ru</w:t>
      </w:r>
    </w:p>
    <w:p>
      <w:pPr>
        <w:numPr>
          <w:ilvl w:val="0"/>
          <w:numId w:val="1"/>
        </w:numPr>
      </w:pPr>
      <w:r>
        <w:rPr/>
        <w:t xml:space="preserve">другие базы данных, размещенные на сайте Научной библиотеки ПетрГУ в разделе «Электронные журналы и базы данных» </w:t>
      </w:r>
      <w:hyperlink r:id="rId7" w:history="1">
        <w:r>
          <w:rPr/>
          <w:t xml:space="preserve">http://library.petrsu.ru/collections/bd.shtml</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Не предусматривается.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014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97B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2026-04-21T08:08:33+03:00</dcterms:created>
  <dcterms:modified xsi:type="dcterms:W3CDTF">2026-04-21T08:08:33+03:00</dcterms:modified>
</cp:coreProperties>
</file>

<file path=docProps/custom.xml><?xml version="1.0" encoding="utf-8"?>
<Properties xmlns="http://schemas.openxmlformats.org/officeDocument/2006/custom-properties" xmlns:vt="http://schemas.openxmlformats.org/officeDocument/2006/docPropsVTypes"/>
</file>