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Информатика (Н), Моделирование производственных процессов (О), Волонтерство (+), Философия (О), Преддипломная практика (И), Выполнение, подготовка к процедуре защиты и защита выпускной квалификационной работы (И), Библиография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Подготовка к коллоквиуму по теме; 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теме; ГОСТ 7.1.-2003. Библиографическая запись. Библиографическое описание. Общие требования и правила составления;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 Подготовка к коллоквиуму по теме; ГОСТ 7.82-2001. Библиографическая запись. Библиографическое описание электронных ресурсов;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 ресурсов. Подготовка к коллоквиуму по теме; ГОСТ 7.05-2008. Библиографическая ссылка. Общие требования и правила составления ресурсов;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</w:t>
      </w:r>
      <w:r>
        <w:rPr/>
        <w:t xml:space="preserve">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 Виды электронных ресурсов</w:t>
      </w:r>
    </w:p>
    <w:p>
      <w:pPr>
        <w:numPr>
          <w:ilvl w:val="0"/>
          <w:numId w:val="4"/>
        </w:numPr>
      </w:pPr>
      <w:r>
        <w:rPr/>
        <w:t xml:space="preserve"> 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6"/>
        </w:numPr>
      </w:pPr>
      <w:r>
        <w:rPr/>
        <w:t xml:space="preserve">Библиография как область практической деятельности</w:t>
      </w:r>
    </w:p>
    <w:p>
      <w:pPr>
        <w:numPr>
          <w:ilvl w:val="0"/>
          <w:numId w:val="6"/>
        </w:numPr>
      </w:pPr>
      <w:r>
        <w:rPr/>
        <w:t xml:space="preserve">Основные библиографические центров РФ</w:t>
      </w:r>
    </w:p>
    <w:p>
      <w:pPr>
        <w:numPr>
          <w:ilvl w:val="0"/>
          <w:numId w:val="6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6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6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6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6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6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6"/>
        </w:numPr>
      </w:pPr>
      <w:r>
        <w:rPr/>
        <w:t xml:space="preserve">Аналитическое библиографическое описание</w:t>
      </w:r>
    </w:p>
    <w:p>
      <w:pPr>
        <w:numPr>
          <w:ilvl w:val="0"/>
          <w:numId w:val="6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6"/>
        </w:numPr>
      </w:pPr>
      <w:r>
        <w:rPr/>
        <w:t xml:space="preserve">Оформление повторной библиографической ссылки</w:t>
      </w:r>
    </w:p>
    <w:p>
      <w:pPr>
        <w:numPr>
          <w:ilvl w:val="0"/>
          <w:numId w:val="6"/>
        </w:numPr>
      </w:pPr>
      <w:r>
        <w:rPr/>
        <w:t xml:space="preserve">Виды электронных ресурсов</w:t>
      </w:r>
    </w:p>
    <w:p>
      <w:pPr>
        <w:numPr>
          <w:ilvl w:val="0"/>
          <w:numId w:val="6"/>
        </w:numPr>
      </w:pPr>
      <w:r>
        <w:rPr/>
        <w:t xml:space="preserve">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</w:t>
      </w:r>
      <w:r>
        <w:rPr/>
        <w:t xml:space="preserve">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: Научная библиотека ПетрГУ / ПетрГУ. – Электрон. дан. – Петрозаводск, </w:t>
      </w:r>
      <w:r>
        <w:rPr/>
        <w:t xml:space="preserve">cop</w:t>
      </w:r>
      <w:r>
        <w:rPr/>
        <w:t xml:space="preserve">. 1997. - </w:t>
      </w:r>
      <w:r>
        <w:rPr/>
        <w:t xml:space="preserve">URL</w:t>
      </w:r>
      <w:r>
        <w:rPr/>
        <w:t xml:space="preserve"> 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activity</w:t>
      </w:r>
      <w:r>
        <w:rPr/>
        <w:t xml:space="preserve">/</w:t>
      </w:r>
      <w:r>
        <w:rPr/>
        <w:t xml:space="preserve">GOST</w:t>
      </w:r>
      <w:r>
        <w:rPr/>
        <w:t xml:space="preserve">7.82-2001.</w:t>
      </w:r>
      <w:r>
        <w:rPr/>
        <w:t xml:space="preserve">pdf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: Научная библиотека ПетрГУ / ПетрГУ. – Электрон. дан. – Петрозаводск, </w:t>
      </w:r>
      <w:r>
        <w:rPr/>
        <w:t xml:space="preserve">cop</w:t>
      </w:r>
      <w:r>
        <w:rPr/>
        <w:t xml:space="preserve">. 1997. - </w:t>
      </w:r>
      <w:r>
        <w:rPr/>
        <w:t xml:space="preserve">URL</w:t>
      </w:r>
      <w:r>
        <w:rPr/>
        <w:t xml:space="preserve">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</w:t>
      </w:r>
      <w:r>
        <w:rPr/>
        <w:t xml:space="preserve">cop</w:t>
      </w:r>
      <w:r>
        <w:rPr/>
        <w:t xml:space="preserve">. 2016.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</w:t>
      </w:r>
      <w:r>
        <w:rPr/>
        <w:t xml:space="preserve"> дан. – [Петрозаводск], </w:t>
      </w:r>
      <w:r>
        <w:rPr/>
        <w:t xml:space="preserve">cop</w:t>
      </w:r>
      <w:r>
        <w:rPr/>
        <w:t xml:space="preserve">. 2016.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http://docs.cntd.ru/document/1200034383</w:t>
        </w:r>
      </w:hyperlink>
    </w:p>
    <w:p>
      <w:pPr>
        <w:numPr>
          <w:ilvl w:val="0"/>
          <w:numId w:val="8"/>
        </w:numPr>
      </w:pPr>
      <w:r>
        <w:rPr/>
        <w:t xml:space="preserve">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</w:t>
      </w:r>
      <w:r>
        <w:rPr/>
        <w:t xml:space="preserve">cop</w:t>
      </w:r>
      <w:r>
        <w:rPr/>
        <w:t xml:space="preserve">. 2016.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9"/>
        </w:numPr>
      </w:pP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 [Электронный ресурс] : электронная библиотека Республики Карелия / Петрозав. гос. ун-т [и др.]. – Электрон. дан. – [Петрозаводск], </w:t>
      </w:r>
      <w:r>
        <w:rPr/>
        <w:t xml:space="preserve">cop</w:t>
      </w:r>
      <w:r>
        <w:rPr/>
        <w:t xml:space="preserve">. 1998.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http://elibrary.karelia.ru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[Электронный ресурс] / компания «Директ-Медиа». – Электрон. дан. – Электрон. дан. – [Москва], </w:t>
      </w:r>
      <w:r>
        <w:rPr/>
        <w:t xml:space="preserve">cop</w:t>
      </w:r>
      <w:r>
        <w:rPr/>
        <w:t xml:space="preserve">. 2001-2016.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«Библиография» для обучающихся по направлению подготовки специалитета ФГОС 23.05.01 Наземные транспортно-технологические средства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8F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58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A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D2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E22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08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5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8B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1D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/admin/discipline/http:/docs.cntd.ru/document/1200034383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