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ЛОГИСТИКА НА ТРАНСПОРТЕ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23.05.01 Наземные транспортно-технологические средства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Специализация направления подготовки специалитета</w:t>
      </w:r>
    </w:p>
    <w:p>
      <w:pPr>
        <w:jc w:val="center"/>
        <w:ind w:left="0" w:right="0" w:firstLine="0" w:hanging="0"/>
        <w:spacing w:before="0" w:after="0"/>
      </w:pPr>
      <w:r>
        <w:rPr>
          <w:sz w:val="28"/>
          <w:szCs w:val="28"/>
        </w:rPr>
        <w:t xml:space="preserve">«Технический сервис и эксплуатация транспортных и технологических машин»</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11 августа 2020 г. N 935 (с изм. № 1456 от 26.11.2020, № 662, от 19.07.2022, №208 от 27.02.2023, от 27.02.2023 г. №208) и учебным планом по направлению подготовки специалитета 23.05.01 Наземные транспортно-технологические средства  (специализация «Технический сервис и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транспортных и технологических машин и оборудования.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А.П. Соколов,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планировать, организовывать и контролировать ремонт транспортных и технологических машин (ТТМ)</w:t>
            </w:r>
            <w:br/>
            <w:br/>
            <w:r>
              <w:rPr>
                <w:b w:val="1"/>
                <w:bCs w:val="1"/>
              </w:rPr>
              <w:t xml:space="preserve">Комментарий:</w:t>
            </w:r>
            <w:br/>
            <w:r>
              <w:rPr/>
              <w:t xml:space="preserve">Данная дисциплина участвует в формировании  компетенции ПК-3 наряду с дисциплинами: Учебная практика (НО), Производственная практика (О), Производственная практика (О), Преддипломная практика (И), Выполнение, подготовка к процедуре защиты и защита выпускной квалификационной работы (И), Логистика на транспорте (О), Металлорежущие станки и инструменты для ремонта агрегатов машин (О), Устройство, монтаж, техническое обслуживание и ремонт газобаллонного оборудования автомобилей (О), Технология и организация диагностики и ремонта при сервисном сопровождении (О), Современные и перспективные электронные системы управления транспортных средств (О), Маркетинг запасных частей (О), Тюнинг автомобилей на предприятиях автосервиса (О).</w:t>
            </w:r>
          </w:p>
        </w:tc>
        <w:tc>
          <w:tcPr>
            <w:tcW w:w="3100" w:type="dxa"/>
            <w:noWrap/>
          </w:tcPr>
          <w:p>
            <w:pPr/>
            <w:r>
              <w:rPr/>
              <w:t xml:space="preserve">ПК-3.1. Знает устройство и конструкцию ТТМ, их узлов, агрегатов и систем;</w:t>
            </w:r>
          </w:p>
          <w:p/>
          <w:p>
            <w:pPr/>
            <w:r>
              <w:rPr/>
              <w:t xml:space="preserve">ПК-3.2. Знает правила и стандарты ремонта, установленные организацией-изготовителем ТТМ;</w:t>
            </w:r>
          </w:p>
          <w:p/>
          <w:p>
            <w:pPr/>
            <w:r>
              <w:rPr/>
              <w:t xml:space="preserve">ПК-3.3. Владеет навыками разработки технической документации, инструкций по эксплуатации и ремонту ТТМ;</w:t>
            </w:r>
          </w:p>
          <w:p/>
          <w:p>
            <w:pPr/>
            <w:r>
              <w:rPr/>
              <w:t xml:space="preserve">ПК-3.4. Умеет оценивать, анализировать, определять все необходимые этапы проведения и организации ремонта ТТМ;</w:t>
            </w:r>
          </w:p>
          <w:p/>
          <w:p>
            <w:pPr/>
            <w:r>
              <w:rPr/>
              <w:t xml:space="preserve">ПК-3.5. Способен выполнять контроль качества выполнения ремонтных работ.</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управлять деятельностью сервисного центра по техническому обслуживанию (ТО) и ремонту транспортных и технологических машин (ТТМ)</w:t>
            </w:r>
            <w:br/>
            <w:br/>
            <w:r>
              <w:rPr>
                <w:b w:val="1"/>
                <w:bCs w:val="1"/>
              </w:rPr>
              <w:t xml:space="preserve">Комментарий:</w:t>
            </w:r>
            <w:br/>
            <w:r>
              <w:rPr/>
              <w:t xml:space="preserve">Данная дисциплина участвует в формировании  компетенции ПК-4 наряду с дисциплинами: Учебная практика (НО), Производственная практика (О), Производственная практика (О), Преддипломная практика (И), Выполнение, подготовка к процедуре защиты и защита выпускной квалификационной работы (И), Логистика на транспорте (О), Производственно-техническая инфраструктура и основы проектирования предприятий автосервиса (О), Организация государственного учета и контроля технического состояния автотранспортных средств (О), Безопасность труда и пожарная безопасность на авторемонтных предприятиях (О), Технология и организация диагностики и ремонта при сервисном сопровождении (О), Современные и перспективные электронные системы управления транспортных средств (О).</w:t>
            </w:r>
          </w:p>
        </w:tc>
        <w:tc>
          <w:tcPr>
            <w:tcW w:w="3100" w:type="dxa"/>
            <w:noWrap/>
          </w:tcPr>
          <w:p>
            <w:pPr/>
            <w:r>
              <w:rPr/>
              <w:t xml:space="preserve">ПК-4.1. Знает требования нормативных правовых в области оказания сервисных услуг по ТО и ремонту ТТМ;</w:t>
            </w:r>
          </w:p>
          <w:p/>
          <w:p>
            <w:pPr/>
            <w:r>
              <w:rPr/>
              <w:t xml:space="preserve">ПК-4.2. Способен использовать основные категории и понятия общего и производственного менеджмента в профессиональной деятельности;</w:t>
            </w:r>
          </w:p>
          <w:p/>
          <w:p>
            <w:pPr/>
            <w:r>
              <w:rPr/>
              <w:t xml:space="preserve">ПК-4.3. Владеет навыками разработки и внедрения документации, регламентирующей работу сервисного центра;</w:t>
            </w:r>
          </w:p>
          <w:p/>
          <w:p>
            <w:pPr/>
            <w:r>
              <w:rPr/>
              <w:t xml:space="preserve">ПК-4.4. Способен осуществлять координацию подразделений сервисного центра;</w:t>
            </w:r>
          </w:p>
          <w:p/>
          <w:p>
            <w:pPr/>
            <w:r>
              <w:rPr/>
              <w:t xml:space="preserve">ПК-4.5. Способен организовывать мероприятия по материально-техническому и кадровому обеспечению подразделений сервисного центра;</w:t>
            </w:r>
          </w:p>
          <w:p/>
          <w:p>
            <w:pPr/>
            <w:r>
              <w:rPr/>
              <w:t xml:space="preserve">ПК-4.6. Способен анализировать проблемы и причины несвоевременного выполнения работ по ТО и ремонту ТТМ;</w:t>
            </w:r>
          </w:p>
          <w:p/>
          <w:p>
            <w:pPr/>
            <w:r>
              <w:rPr/>
              <w:t xml:space="preserve">ПК-4.7. Способен контролировать качество предоставления услуг по ТО и ремонту ТТМ;</w:t>
            </w:r>
          </w:p>
          <w:p/>
          <w:p>
            <w:pPr/>
            <w:r>
              <w:rPr/>
              <w:t xml:space="preserve">ПК-4.8. Способен совершенствовать процесс ТО и ремонта ТТМ.</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Логистика на транспорте входит в часть,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Информатика, Моделирование производственных процессов, Информационные технологии в профессиональной деятельности, Математические методы и модели в расчетах на ЭВМ, Производственный менеджмент и маркетинг,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Логистический подход к организации и управлению деятельностью организации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Функциональные области логистики</w:t>
            </w:r>
          </w:p>
        </w:tc>
        <w:tc>
          <w:tcPr>
            <w:noWrap/>
          </w:tcPr>
          <w:p>
            <w:pPr>
              <w:jc w:val="left"/>
              <w:ind w:left="0" w:right="0" w:firstLine="0" w:hanging="0"/>
            </w:pPr>
            <w:r>
              <w:rPr/>
              <w:t xml:space="preserve">32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Лабораторные занятия</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логистики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логистического подхода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Объекты и субъекты логистического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Закупочная логистика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Имитационное моделирование функционирования логистических цепей</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Создание пространственной модели логистической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Ввод исходных данных для планирования функционирования логистической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Оптимальное планирование функционирования логистической системы средствами пакета программ Opti-Wood</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9</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понятия логистики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логистического подхода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Объекты и субъекты логистического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Закупочная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Производственная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Распределительная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Складская логистика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Логистика запасов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Транспортная логистика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промежуточных тестов</w:t>
            </w:r>
          </w:p>
        </w:tc>
        <w:tc>
          <w:tcPr>
            <w:noWrap/>
          </w:tcPr>
          <w:p>
            <w:pPr>
              <w:jc w:val="left"/>
              <w:ind w:left="0" w:right="0" w:firstLine="0" w:hanging="0"/>
            </w:pPr>
            <w:r>
              <w:rPr/>
              <w:t xml:space="preserve">25</w:t>
            </w:r>
          </w:p>
        </w:tc>
        <w:tc>
          <w:tcPr>
            <w:noWrap/>
          </w:tcPr>
          <w:p>
            <w:pPr>
              <w:jc w:val="left"/>
              <w:ind w:left="0" w:right="0" w:firstLine="0" w:hanging="0"/>
            </w:pPr>
            <w:r>
              <w:rPr/>
              <w:t xml:space="preserve">15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23</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59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14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"Наземные транспортно-технологические средства"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"Логистика" имеется лаборатория, оснащенная необходимым оборудованием и компьютерами, мультимедийное оборудование для демонстрации учебных материалов.</w:t>
      </w:r>
    </w:p>
    <w:p>
      <w:pPr/>
      <w:r>
        <w:rPr/>
        <w:t xml:space="preserve">По предмету "Логистика"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задания для выполнения лабораторных работ, а также ряд тестов по различным разделам материала.</w:t>
      </w:r>
    </w:p>
    <w:p>
      <w:pPr/>
      <w:r>
        <w:rPr/>
        <w:t xml:space="preserve">Самостоятельная работа студентов над теоретическим курсом осуществляется в рамках разработанного дистанционного курса "Логистика", размещенного на сайте ПетрГУ </w:t>
      </w:r>
      <w:hyperlink r:id="rId7" w:history="1">
        <w:r>
          <w:rPr/>
          <w:t xml:space="preserve">https://moodle2.petrsu.ru/</w:t>
        </w:r>
      </w:hyperlink>
      <w:r>
        <w:rPr/>
        <w:t xml:space="preserve">.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подготовительного и финального тестов. Наибольшее влияние (50% оценки) оказывает финальный тест, выполняемый студентами на зачете.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тест;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Имитационное моделирование функционирования логистических цепей</w:t>
      </w:r>
    </w:p>
    <w:p>
      <w:pPr/>
      <w:r>
        <w:rPr/>
        <w:t xml:space="preserve">В ходе лабораторной работы обучающиеся выполняют имитационное моделирование функционирования цепей поставок в среде специализированного пакета программ AnyLogic PLE. Работа выполняется в компьютерном классе. Задание и методика выполнения работы размещены в среде WebCT в дистанционном курсе по дисциплине: </w:t>
      </w:r>
      <w:hyperlink r:id="rId8"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Создание пространственной модели логистической системы лесозаготовительного производства</w:t>
      </w:r>
    </w:p>
    <w:p>
      <w:pPr/>
      <w:r>
        <w:rPr/>
        <w:t xml:space="preserve">В ходе лабораторной работы обучающиеся выполняют создание пространственной модели логистической системы лесозаготовительного производства 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8"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№3. Ввод исходных данных для планирования функционирования логистической системы</w:t>
      </w:r>
    </w:p>
    <w:p>
      <w:pPr/>
      <w:r>
        <w:rPr/>
        <w:t xml:space="preserve">В ходе лабораторной работы обучающиеся выполняют ввод исходных данных для планирования функционирования логистической системыв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8"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№4. Оптимальное планирование функционирования логистической системы средствами пакета программ Opti-Wood</w:t>
      </w:r>
    </w:p>
    <w:p>
      <w:pPr/>
      <w:r>
        <w:rPr/>
        <w:t xml:space="preserve">В ходе лабораторной работы обучающиеся выполняют оптимальное планирование функционирования логистической системы средствами пакета программ Opti-Wood в среде специализированного пакета программ Opti-Wood. Работа выполняется в компьютерном классе. Задание на выполнения работы размещено в среде WebCT в дистанционном курсе по дисциплине: </w:t>
      </w:r>
      <w:hyperlink r:id="rId8" w:history="1">
        <w:r>
          <w:rPr/>
          <w:t xml:space="preserve">http://webct.ru/SCRIPT/114/scripts/serve_home</w:t>
        </w:r>
      </w:hyperlink>
      <w:r>
        <w:rPr/>
        <w:t xml:space="preserve">.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Критерием оценки является верный ответ обучающегося на предложенный во время защиты вопрос по теме работы.</w:t>
      </w:r>
    </w:p>
    <w:p/>
    <w:p>
      <w:pPr/>
      <w:r>
        <w:rPr/>
        <w:t xml:space="preserve">Тест</w:t>
      </w:r>
    </w:p>
    <w:p>
      <w:pPr/>
      <w:r>
        <w:rPr/>
        <w:t xml:space="preserve">Набор тестов для текущего самотестирования.</w:t>
      </w:r>
    </w:p>
    <w:p>
      <w:pPr/>
      <w:r>
        <w:rPr/>
        <w:t xml:space="preserve">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Тесты является частью дистанционного курса по дисциплине и реализован средствами WebCT.</w:t>
      </w:r>
    </w:p>
    <w:p>
      <w:pPr/>
      <w:r>
        <w:rPr/>
        <w:t xml:space="preserve">Тест доступен в ДК на сервере WebCT ПетрГУ: </w:t>
      </w:r>
      <w:hyperlink r:id="rId9"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Какие цели создания информационной системы на предприятии: a) обеспечить согласованность действий структурных подразделений предприятия, его дееспособность и гибкость, расширение функций предприятия в соответствии с требованиями рынка; b) обеспечение непрерывного трудового процесса и соответствующих условий труда для персонала; c) сбор фактических данных, первичный анализ производства и потребления.</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a,b,c</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a,b</w:t>
                  </w:r>
                </w:p>
              </w:tc>
            </w:tr>
            <w:tr>
              <w:trPr/>
              <w:tc>
                <w:tcPr>
                  <w:tcW w:w="5000" w:type="pct"/>
                  <w:vAlign w:val="top"/>
                  <w:noWrap/>
                </w:tcPr>
                <w:p>
                  <w:pPr>
                    <w:jc w:val="center"/>
                  </w:pPr>
                </w:p>
              </w:tc>
              <w:tc>
                <w:tcPr>
                  <w:tcW w:w="5000" w:type="pct"/>
                  <w:vAlign w:val="top"/>
                  <w:noWrap/>
                </w:tcPr>
                <w:p>
                  <w:pPr/>
                  <w:r>
                    <w:rPr/>
                    <w:t xml:space="preserve">c.</w:t>
                  </w:r>
                </w:p>
              </w:tc>
              <w:tc>
                <w:tcPr>
                  <w:tcW w:w="5000" w:type="pct"/>
                  <w:vAlign w:val="top"/>
                  <w:noWrap/>
                </w:tcPr>
                <w:p>
                  <w:pPr/>
                  <w:r>
                    <w:rPr/>
                    <w:t xml:space="preserve">b,c</w:t>
                  </w:r>
                </w:p>
              </w:tc>
            </w:tr>
            <w:tr>
              <w:trPr/>
              <w:tc>
                <w:tcPr>
                  <w:tcW w:w="5000" w:type="pct"/>
                  <w:vAlign w:val="top"/>
                  <w:noWrap/>
                </w:tcPr>
                <w:p>
                  <w:pPr>
                    <w:jc w:val="center"/>
                  </w:pPr>
                </w:p>
              </w:tc>
              <w:tc>
                <w:tcPr>
                  <w:tcW w:w="5000" w:type="pct"/>
                  <w:vAlign w:val="top"/>
                  <w:noWrap/>
                </w:tcPr>
                <w:p>
                  <w:pPr/>
                  <w:r>
                    <w:rPr/>
                    <w:t xml:space="preserve">d.</w:t>
                  </w:r>
                </w:p>
              </w:tc>
              <w:tc>
                <w:tcPr>
                  <w:tcW w:w="5000" w:type="pct"/>
                  <w:vAlign w:val="top"/>
                  <w:noWrap/>
                </w:tcPr>
                <w:p>
                  <w:pPr/>
                  <w:r>
                    <w:rPr/>
                    <w:t xml:space="preserve">a,c</w:t>
                  </w:r>
                </w:p>
              </w:tc>
            </w:tr>
          </w:tbl>
          <w:p/>
        </w:tc>
      </w:tr>
    </w:tbl>
    <w:p>
      <w:pPr/>
      <w:r>
        <w:rPr/>
        <w:t xml:space="preserve">Тесты применяются обучающимися для самотестирования и не влияют на оценку преподавателем степени освоения материала курса.</w:t>
      </w:r>
    </w:p>
    <w:p/>
    <w:p>
      <w:pPr/>
      <w:r>
        <w:rPr/>
        <w:t xml:space="preserve">Тест</w:t>
      </w:r>
    </w:p>
    <w:p>
      <w:pPr/>
      <w:r>
        <w:rPr/>
        <w:t xml:space="preserve">Тест для подготовки к зачету</w:t>
      </w:r>
    </w:p>
    <w:p>
      <w:pPr/>
      <w:r>
        <w:rPr/>
        <w:t xml:space="preserve">Тест для подготовки к зачету по форме и содержанию эквивалентен тесту, который предлагается студентам на зачете. Для подготовки к зачету обучающимся предоставляется две попытки пройти подготовительный тест. Тест является частью дистанционного курса по дисциплине и реализован средствами WebCT.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WebCT ПетрГУ: </w:t>
      </w:r>
      <w:hyperlink r:id="rId8"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Физическое товародвижение заключается в...</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...продвижении товара из одного географического пункта в другой</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...переходе товара от одного владельца к другому</w:t>
                  </w:r>
                </w:p>
              </w:tc>
            </w:tr>
          </w:tbl>
          <w:p/>
        </w:tc>
      </w:tr>
    </w:tbl>
    <w:p>
      <w:pPr/>
      <w:r>
        <w:rPr/>
        <w:t xml:space="preserve">Результаты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WebCT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WebCT ПетрГУ: </w:t>
      </w:r>
      <w:hyperlink r:id="rId9" w:history="1">
        <w:r>
          <w:rPr/>
          <w:t xml:space="preserve">http://webct.ru/SCRIPT/114/scripts/serve_home</w:t>
        </w:r>
      </w:hyperlink>
    </w:p>
    <w:p>
      <w:pPr/>
      <w:r>
        <w:rPr/>
        <w:t xml:space="preserve">Пример тестового вопроса:</w:t>
      </w:r>
    </w:p>
    <w:p>
      <w:pPr/>
    </w:p>
    <w:tbl>
      <w:tblGrid>
        <w:gridCol w:w="5000" w:type="dxa"/>
      </w:tblGrid>
      <w:tblPr>
        <w:tblW w:w="5000" w:type="pct"/>
        <w:tblCellSpacing w:w="0" w:type="dxa"/>
        <w:tblLayout w:type="autofit"/>
        <w:tblBorders>
          <w:top w:val="single" w:sz="0"/>
          <w:left w:val="single" w:sz="0"/>
          <w:right w:val="single" w:sz="0"/>
          <w:bottom w:val="single" w:sz="0"/>
          <w:insideH w:val="single" w:sz="0"/>
          <w:insideV w:val="single" w:sz="0"/>
        </w:tblBorders>
      </w:tblPr>
      <w:tr>
        <w:trPr/>
        <w:tc>
          <w:tcPr>
            <w:tcW w:w="5000" w:type="pct"/>
            <w:gridSpan w:val="2"/>
            <w:noWrap/>
          </w:tcPr>
          <w:p>
            <w:pPr/>
            <w:r>
              <w:rPr/>
              <w:t xml:space="preserve">Какое подразделение из названных стремится минимизировать запасы?</w:t>
            </w:r>
          </w:p>
          <w:p>
            <w:pPr/>
          </w:p>
        </w:tc>
      </w:tr>
      <w:tr>
        <w:trPr/>
        <w:tc>
          <w:tcPr>
            <w:tcW w:w="5000" w:type="pct"/>
            <w:gridSpan w:val="2"/>
            <w:noWrap/>
          </w:tcPr>
          <w:tbl>
            <w:tblGrid>
              <w:gridCol w:w="5000" w:type="dxa"/>
              <w:gridCol w:w="5000" w:type="dxa"/>
              <w:gridCol w:w="5000"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000" w:type="pct"/>
                  <w:vAlign w:val="top"/>
                  <w:noWrap/>
                </w:tcPr>
                <w:p>
                  <w:pPr>
                    <w:jc w:val="center"/>
                  </w:pPr>
                </w:p>
              </w:tc>
              <w:tc>
                <w:tcPr>
                  <w:tcW w:w="5000" w:type="pct"/>
                  <w:vAlign w:val="top"/>
                  <w:noWrap/>
                </w:tcPr>
                <w:p>
                  <w:pPr/>
                  <w:r>
                    <w:rPr/>
                    <w:t xml:space="preserve">a.</w:t>
                  </w:r>
                </w:p>
              </w:tc>
              <w:tc>
                <w:tcPr>
                  <w:tcW w:w="5000" w:type="pct"/>
                  <w:vAlign w:val="top"/>
                  <w:noWrap/>
                </w:tcPr>
                <w:p>
                  <w:pPr/>
                  <w:r>
                    <w:rPr/>
                    <w:t xml:space="preserve">Служба маркетинга</w:t>
                  </w:r>
                </w:p>
              </w:tc>
            </w:tr>
            <w:tr>
              <w:trPr/>
              <w:tc>
                <w:tcPr>
                  <w:tcW w:w="5000" w:type="pct"/>
                  <w:vAlign w:val="top"/>
                  <w:noWrap/>
                </w:tcPr>
                <w:p>
                  <w:pPr>
                    <w:jc w:val="center"/>
                  </w:pPr>
                </w:p>
              </w:tc>
              <w:tc>
                <w:tcPr>
                  <w:tcW w:w="5000" w:type="pct"/>
                  <w:vAlign w:val="top"/>
                  <w:noWrap/>
                </w:tcPr>
                <w:p>
                  <w:pPr/>
                  <w:r>
                    <w:rPr/>
                    <w:t xml:space="preserve">b.</w:t>
                  </w:r>
                </w:p>
              </w:tc>
              <w:tc>
                <w:tcPr>
                  <w:tcW w:w="5000" w:type="pct"/>
                  <w:vAlign w:val="top"/>
                  <w:noWrap/>
                </w:tcPr>
                <w:p>
                  <w:pPr/>
                  <w:r>
                    <w:rPr/>
                    <w:t xml:space="preserve">Финансовый отдел</w:t>
                  </w:r>
                </w:p>
              </w:tc>
            </w:tr>
            <w:tr>
              <w:trPr/>
              <w:tc>
                <w:tcPr>
                  <w:tcW w:w="5000" w:type="pct"/>
                  <w:vAlign w:val="top"/>
                  <w:noWrap/>
                </w:tcPr>
                <w:p>
                  <w:pPr>
                    <w:jc w:val="center"/>
                  </w:pPr>
                </w:p>
              </w:tc>
              <w:tc>
                <w:tcPr>
                  <w:tcW w:w="5000" w:type="pct"/>
                  <w:vAlign w:val="top"/>
                  <w:noWrap/>
                </w:tcPr>
                <w:p>
                  <w:pPr/>
                  <w:r>
                    <w:rPr/>
                    <w:t xml:space="preserve">c.</w:t>
                  </w:r>
                </w:p>
              </w:tc>
              <w:tc>
                <w:tcPr>
                  <w:tcW w:w="5000" w:type="pct"/>
                  <w:vAlign w:val="top"/>
                  <w:noWrap/>
                </w:tcPr>
                <w:p>
                  <w:pPr/>
                  <w:r>
                    <w:rPr/>
                    <w:t xml:space="preserve">Служба закупки</w:t>
                  </w:r>
                </w:p>
              </w:tc>
            </w:tr>
          </w:tbl>
          <w:p/>
        </w:tc>
      </w:tr>
    </w:tbl>
    <w:p>
      <w:pPr/>
      <w:r>
        <w:rPr/>
        <w:t xml:space="preserve">Результаты зачетного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и зачет.</w:t>
      </w:r>
    </w:p>
    <w:p>
      <w:pPr/>
      <w:r>
        <w:rPr/>
        <w:t xml:space="preserve">Лекции и лабораторные работы проходят с начала семестра еженедельно. Лабораторные занятия проходят в компьютерном классе.  Кроме того, проводится промежуточное тестирование, проводимое дистанционно средствами дистанционного курса WebCT "Логистика".</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WebCT ПетрГУ (http://webct.ru). Курс содержит всю необходимую информацию, в том числе электронный учебник и задания к лабораторным работам. Промежуточное тестирование, а также зачет проводятся средствами WebCT (тесты).</w:t>
      </w:r>
    </w:p>
    <w:p>
      <w:pPr/>
      <w:r>
        <w:rPr/>
        <w:t xml:space="preserve">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и количество неоправданных пропусков лекционных занятий. Каждый из факторов оказывает свое влияние на финальную оценку. Наибольшее влияние оказывает оценка за финальный тест.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а также и финальную оценку в 3 балла или выше. Оценки за тесты и финальная оценка вычисляется в WebCT автоматически. Все оценки доступны в разделе ДК «Мои успехи».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раз в две недели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Число пропусков заносится в систему учета работы студентов Moodle и влияет на окончательную оценку. Каждый пропуск соответствует 0,2 балла, которые вычитаются из финальной оценки. Таким образом, 5 пропусков равносильны снижению оценки на балл.</w:t>
      </w:r>
    </w:p>
    <w:p>
      <w:pPr/>
      <w:r>
        <w:rPr/>
        <w:t xml:space="preserve">Разработанный дистанционный курс, в числе прочего, содержит электронную версию учебника по курсу (Герасимов Ю. Ю. Логистика в лесном комплексе: управление снабжением, транспортом и запасами: Учеб. Пособие. – Петрозаводск: Изд-во ПетрГУ, 2001. – 108 с.). Для его использования студенты должны быть зарегистрированы на сервере Moodle ПетрГУ и получить доступ к ДК «Логистика».</w:t>
      </w:r>
    </w:p>
    <w:p>
      <w:pPr/>
      <w:r>
        <w:rPr/>
        <w:t xml:space="preserve">  </w:t>
      </w:r>
    </w:p>
    <w:p>
      <w:pPr/>
      <w:r>
        <w:rPr>
          <w:b w:val="1"/>
          <w:bCs w:val="1"/>
        </w:rPr>
        <w:t xml:space="preserve">Лабораторные занятия</w:t>
      </w:r>
    </w:p>
    <w:p>
      <w:pPr/>
      <w:r>
        <w:rPr/>
        <w:t xml:space="preserve">Лабораторные занятия проходят еженедельно. Занятия проводятся в компьютерном классе (ауд. 212 или 208). На компьютерах должны быть установлены пакеты программ AnyLogic и Opti-Wood. Последний пакет программ устанавливается на сервере с клиентскими подпрограммами на учебных машинах.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Лабораторные работы выполняются с использованием командной формы организации. Каждая команда состоит из 4-5 человек, которые распределяют между собой решаемые задачи. Разработано 5 вариантов заданий, которые доступны в одноименном ДК на сервере Moodle ПетрГУ. Перед началом лабораторных занятий необходимо разделить обучающихся на команды и назначить каждой команде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p>
    <w:p>
      <w:pPr/>
      <w:r>
        <w:rPr>
          <w:b w:val="1"/>
          <w:bCs w:val="1"/>
        </w:rPr>
        <w:t xml:space="preserve">Текущее тестирование</w:t>
      </w:r>
    </w:p>
    <w:p>
      <w:pPr/>
      <w:r>
        <w:rPr/>
        <w:t xml:space="preserve">Для текущего тестирования знаний по различным разделам дисциплины используются размещенные в ДК Moodle тестовые задания: Набор тестов для текущего самотестирования. Разработано 12 небольших тестов по различным раздела дисциплины, которые предлагаются студентам на всем протяжении ее изучения для текущего контроля. Как правило студенты проходят их самостоятельно, в том числе и при подготовке к экзамену. Поэтому студенты должны быть заранее зарегистрированы на сервере Moodle ПетрГУ и получить доступ к ДК «Логистика».</w:t>
      </w:r>
    </w:p>
    <w:p>
      <w:pPr/>
      <w:r>
        <w:rPr/>
        <w:t xml:space="preserve">Кроме того, в ДК Moodle «Логистика» размещен тест для подготовки к экзамену, который по форме и содержанию эквивалентен тесту, который предлагается студентам на зачете. Для подготовки к зачету обучающимся предоставляется две попытки пройти подготовительный тест. Каждый студент получает 15 вопросов по разным темам, извлекаемым случайным образом из общей базы вопросов. По результатам теста система генерирует оценку. Результат этого теста оказывает влияние на финальную оценку с весовым коэффициентом 0,2.</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оценку 3 балла или выше за финальный тест, а также и финальную оценку в 3 балла или выше. Оценки за тесты и финальная оценка вычисляется в Moodle автоматически. Все оценки доступны в разделе ДК «Оценки». Оценка за финальный тест может быть исправлена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Герасимов Ю. Ю. Логистика в лесном комплексе: управление снабжением, транспортом и запасами: Учеб. Пособие. – Петрозаводск: Изд-во ПетрГУ, 2001. – 108 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Бродецкий, Г. Л. Системный анализ в логистике : выбор в условиях неопределенности : учеб. для студентов вузов / Г. Л. Бродецкий. - Москва : Академия, 2010. - 334 с.</w:t>
      </w:r>
    </w:p>
    <w:p>
      <w:pPr>
        <w:numPr>
          <w:ilvl w:val="0"/>
          <w:numId w:val="2"/>
        </w:numPr>
      </w:pPr>
      <w:r>
        <w:rPr/>
        <w:t xml:space="preserve">Инструменты поддержки принятия решений в лесном хозяйстве / [Евгений Лопатин [и др.] ; перевод: Сергей Гладков ; редактор: Людмила Лейнонен]. - Йоэнсуу : Научно-исследовательский институт леса Финляндии, 2014. - 69 с.</w:t>
      </w:r>
    </w:p>
    <w:p>
      <w:pPr>
        <w:numPr>
          <w:ilvl w:val="0"/>
          <w:numId w:val="2"/>
        </w:numPr>
      </w:pPr>
      <w:r>
        <w:rPr/>
        <w:t xml:space="preserve">Миротин, Л. Б. Логистика в автомобильном транспорте : практикум / Л. Б. Миротин, Е. А. Лебедев. - Ростов-на-Дону : Феникс, 2015. - 237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2015. Ч. 1. - 98 с.</w:t>
      </w:r>
    </w:p>
    <w:p>
      <w:pPr>
        <w:numPr>
          <w:ilvl w:val="0"/>
          <w:numId w:val="2"/>
        </w:numPr>
      </w:pPr>
      <w:r>
        <w:rPr/>
        <w:t xml:space="preserve">Организация складского хозяйства : учебное пособие; [составители Тихонов Е. А., Родионов А. В.]. - Петрозаводск : Издательство ПетрГУ, 2016. Ч. 2. - 78 с.</w:t>
      </w:r>
    </w:p>
    <w:p>
      <w:pPr>
        <w:numPr>
          <w:ilvl w:val="0"/>
          <w:numId w:val="2"/>
        </w:numPr>
      </w:pPr>
      <w:r>
        <w:rPr/>
        <w:t xml:space="preserve">Соколов А.П. Логистическая поддержка лесозаготовок [Текст] / А.П. Соколов, В.К. Катаров, В.С. Сюнёв. - Петрозаводск : Издательство ПетрГУ, 2015. - 160с.</w:t>
      </w:r>
    </w:p>
    <w:p>
      <w:pPr>
        <w:numPr>
          <w:ilvl w:val="0"/>
          <w:numId w:val="2"/>
        </w:numPr>
      </w:pPr>
      <w:r>
        <w:rPr/>
        <w:t xml:space="preserve">Соколов, А. П. Функциональная логистика лесозаготовительного предприятия / А. П. Соколов, Ю. Ю. Герасимов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- 84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Пакет программ AnyLogic PLE</w:t>
      </w:r>
    </w:p>
    <w:p>
      <w:pPr>
        <w:numPr>
          <w:ilvl w:val="0"/>
          <w:numId w:val="3"/>
        </w:numPr>
      </w:pPr>
      <w:r>
        <w:rPr/>
        <w:t xml:space="preserve">Пакет программ Opti-Wood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"Логистика", размещенный на сервере Moodle ПетрГУ: </w:t>
      </w:r>
      <w:hyperlink r:id="rId9" w:history="1">
        <w:r>
          <w:rPr/>
          <w:t xml:space="preserve">https://moodle2.petrsu.ru/course/view.php?id=490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3B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7BC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E71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82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2.petrsu.ru/" TargetMode="External"/><Relationship Id="rId8" Type="http://schemas.openxmlformats.org/officeDocument/2006/relationships/hyperlink" Target="http://webct.ru/SCRIPT/114/scripts/serve_home" TargetMode="External"/><Relationship Id="rId9"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2026-04-21T09:17:33+03:00</dcterms:created>
  <dcterms:modified xsi:type="dcterms:W3CDTF">2026-04-21T09:17:33+03:00</dcterms:modified>
</cp:coreProperties>
</file>

<file path=docProps/custom.xml><?xml version="1.0" encoding="utf-8"?>
<Properties xmlns="http://schemas.openxmlformats.org/officeDocument/2006/custom-properties" xmlns:vt="http://schemas.openxmlformats.org/officeDocument/2006/docPropsVTypes"/>
</file>