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ГОСУДАРСТВЕННОГО УЧЕТА И КОНТРОЛЯ ТЕХНИЧЕСКОГО СОСТОЯНИЯ АВТОТРАНСПОРТНЫХ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организовывать и осуществлять контроль технического состояния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Пневмопривод технологических машин (О),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Техническая эксплуатация транспортно-технологических машин и комплексов (О), Организация государственного учета и контроля технического состояния автотранспортных средств (О), Электроника и электрооборудование транспортно-технологических машин и комплексов (О), Устройство, монтаж, техническое обслуживание и ремонт газобаллонного оборудования автомобилей (О), Технология и организация диагностики и ремонта при сервисном сопровождении (О), Современные и перспективные электронные системы управления транспортных средств (О), Типаж, монтаж и эксплуатация технологического оборудования автосервиса (О), Надежность машин и оборудования (О), Климатические системы автомобилей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требования нормативных правовых актов, правила и стандарты в сфере технического осмотра ТТМ;</w:t>
            </w:r>
          </w:p>
          <w:p/>
          <w:p>
            <w:pPr/>
            <w:r>
              <w:rPr/>
              <w:t xml:space="preserve">ПК-1.2. Имеет представление об основных технологиях работ по проверке технического состояния ТТМ;</w:t>
            </w:r>
          </w:p>
          <w:p/>
          <w:p>
            <w:pPr/>
            <w:r>
              <w:rPr/>
              <w:t xml:space="preserve">ПК-1.3. Способен выполнять проверку технического состояния ТТМ с использованием средств диагностирования, в том числе средств измерений;</w:t>
            </w:r>
          </w:p>
          <w:p/>
          <w:p>
            <w:pPr/>
            <w:r>
              <w:rPr/>
              <w:t xml:space="preserve">ПК-1.4. Способен выполнять контроль оценки результатов измерений и проверки параметров технического состояния ТТМ.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деятельностью сервисного центра по техническому обслуживанию (ТО) и ремонту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Логистика на транспорте (О), Производственно-техническая инфраструктура и основы проектирования предприятий автосервиса (О), Организация государственного учета и контроля технического состояния автотранспортных средств (О), Безопасность труда и пожарная безопасность на авторемонтных предприятиях (О), Технология и организация диагностики и ремонта при сервисном сопровождении (О), Современные и перспективные электронные системы управления транспортных средств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требования нормативных правовых в области оказания сервисных услуг по ТО и ремонту ТТМ;</w:t>
            </w:r>
          </w:p>
          <w:p/>
          <w:p>
            <w:pPr/>
            <w:r>
              <w:rPr/>
              <w:t xml:space="preserve">ПК-4.2. Способен использовать основные категории и понятия общего и производственного менеджмента в профессиональной деятельности;</w:t>
            </w:r>
          </w:p>
          <w:p/>
          <w:p>
            <w:pPr/>
            <w:r>
              <w:rPr/>
              <w:t xml:space="preserve">ПК-4.3. Владеет навыками разработки и внедрения документации, регламентирующей работу сервисного центра;</w:t>
            </w:r>
          </w:p>
          <w:p/>
          <w:p>
            <w:pPr/>
            <w:r>
              <w:rPr/>
              <w:t xml:space="preserve">ПК-4.4. Способен осуществлять координацию подразделений сервисного центра;</w:t>
            </w:r>
          </w:p>
          <w:p/>
          <w:p>
            <w:pPr/>
            <w:r>
              <w:rPr/>
              <w:t xml:space="preserve">ПК-4.5. Способен организовывать мероприятия по материально-техническому и кадровому обеспечению подразделений сервисного центра;</w:t>
            </w:r>
          </w:p>
          <w:p/>
          <w:p>
            <w:pPr/>
            <w:r>
              <w:rPr/>
              <w:t xml:space="preserve">ПК-4.6. Способен анализировать проблемы и причины несвоевременного выполнения работ по ТО и ремонту ТТМ;</w:t>
            </w:r>
          </w:p>
          <w:p/>
          <w:p>
            <w:pPr/>
            <w:r>
              <w:rPr/>
              <w:t xml:space="preserve">ПК-4.7. Способен контролировать качество предоставления услуг по ТО и ремонту ТТМ;</w:t>
            </w:r>
          </w:p>
          <w:p/>
          <w:p>
            <w:pPr/>
            <w:r>
              <w:rPr/>
              <w:t xml:space="preserve">ПК-4.8. Способен совершенствовать процесс ТО и ремонта ТТМ.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государственного учета и контроля технического состояния автотранспортных средств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безопасной эксплуатации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Инструментальный и визуальный контроль автотранспортных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«Федеральный закон Российской Федерации О безопасности дорожного движения» № 196-ФЗ от 10 декабря 1995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допуску транспортных средств к эксплуатации и обязанности должностных лиц по обеспечению безопасности дорожного движения. ГОСТ Р 52051-2003. Механические транспортные средства и прицепы. Классификация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от 25 апреля 2002 г. № 40 – 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грузовым автомобилям с бортовой платформой, используемых для перевозки людей. Требования к механическому транспортному средству, используемого для обучения вождению.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Приказ МВД России от 24.11.2008 №1001 «О порядке регистрации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Обязательное страхование при ограниченном использовании транспортных средств, компенсационные выплаты, права и обязанности страховщиков, профессиональное объединение страховщиков.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Документы, предоставляемые в регистрационное отделение при регистрации автотранспортного средства. Документы, выдаваемые на зарегистрированные автотранспортные средства.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ФЗ-170 «О техническом осмотре транспортных средств и о внесении изменений в отдельные законодательные акты Российской Федерации».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состава выхлопных газов бензинового двигателя с помощью четырехкомпонентного газоанализатора.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Измерения дымности отработавших газов дизельных двигателей автомобилей с помощью дымомера.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Государственный стандарт РФ ГОСТ Р 51709-2001. «Автотранспортные средства. Требования безопасности к техническому состоянию и методы проверки».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Государственный стандарт РФ ГОСТ Р 52033-2003 Автомобили с бензиновыми двигателями. Выбросы загрязняющих веществ с отработанными газами. Нормы и методы контроля при оценке технического состояния. Государственный стандарт РФ ГОСТ Р 52160-2003. Автотранспортные сродства, оснащённые двигателями с воспламенением от сжатия. Дымность отработавших газов. Нормы и методы контроля при оценке технического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17.2.2.06-99. Охрана природы. АТМОСФЕРА. Нормы и методы измерения содержания оксида углерода и углеводородов в отработавших газах газобаллонных автомобилей. ГОСТ Р52231-2004. Внешний шум автомобилей в эксплуатации. Допустимые уровни и методы измерения. Постановление Правительства РФ от 12 октября 2005 г. N 609 Об утверждении технического регламента &amp;amp;amp;amp;quot;О требованиях к выбросам автомобильной техникой, выпускаемой в обращение на территории Российской Федерации, вредных (загрязняющих) веществ (с изменениями от 27 ноября 2006 г., 26 ноября 2009 г., 8 декабря 2010 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выполнения контроля технического состояния амортизаторов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светопропускания стекол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Проверка, регулировка и измерения силы света фар автотранспортных средств с помощью прибора ОПК.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Измерения суммарного люфта рулевого управления (РУ) автотранспортных средств с помощью прибора ИСЛ - 401М.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технического состояния тормозной системы автотранспортных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принципы обеспечения безопасности дорожного движения. Основные направления обеспечения безопасности дорожного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медицинское обеспечение безопасности дорожного движения. Условия получения права на управление транспортными средствами Основания прекращения действия права на управление транспортными средствами.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диагностическаую карту, талон технического осмотра, международный сертификат технического осмотра. Контроль за деятельностью операторов технического осмотра. Ответственность оператора технического осмотра.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систем. Требования к рулевому управлению. Требования к внешним световым приборам и светоотражающей маркировке. Требования к шинам и колесам. Требования к двигателю и его системам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требования к техническому состоянию двигателя. Методы измерений. Определение и обозначения терминов для ГОСТ Р 52160-2003.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неисправности вызывающие повышенный шум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28 часов лекций, читаемых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Перечень тем:</w:t>
      </w:r>
    </w:p>
    <w:p>
      <w:pPr>
        <w:numPr>
          <w:ilvl w:val="0"/>
          <w:numId w:val="1"/>
        </w:numPr>
      </w:pPr>
      <w:r>
        <w:rPr/>
        <w:t xml:space="preserve">«Федеральный закон Российской Федерации "О безопасности дорожного движения» № 196-ФЗ от 10 декабря 1995 г.</w:t>
      </w:r>
    </w:p>
    <w:p>
      <w:pPr>
        <w:numPr>
          <w:ilvl w:val="0"/>
          <w:numId w:val="1"/>
        </w:numPr>
      </w:pPr>
      <w:r>
        <w:rPr/>
        <w:t xml:space="preserve">Основные положения по допуску транспортных средств к эксплуатации и обязанности должностных лиц по обеспечению безопасности дорожного движения. </w:t>
      </w:r>
      <w:r>
        <w:rPr/>
        <w:t xml:space="preserve">ГОСТ Р 52051-2003. Механические транспортные средства и прицепы. Классификация и определения</w:t>
      </w:r>
    </w:p>
    <w:p>
      <w:pPr>
        <w:numPr>
          <w:ilvl w:val="0"/>
          <w:numId w:val="1"/>
        </w:numPr>
      </w:pPr>
      <w:r>
        <w:rPr/>
        <w:t xml:space="preserve">Федеральный закон от 25 апреля 2002 г. № 40 – ФЗ «Об обязательном страховании гражданской ответственности владельцев транспортных средств»</w:t>
      </w:r>
    </w:p>
    <w:p>
      <w:pPr>
        <w:numPr>
          <w:ilvl w:val="0"/>
          <w:numId w:val="1"/>
        </w:numPr>
      </w:pPr>
      <w:r>
        <w:rPr/>
        <w:t xml:space="preserve">Требования к грузовым автомобилям с бортовой платформой, используемых для перевозки людей. Требования к механическому транспортному средству, используемого для обучения вождению.</w:t>
      </w:r>
    </w:p>
    <w:p>
      <w:pPr>
        <w:numPr>
          <w:ilvl w:val="0"/>
          <w:numId w:val="1"/>
        </w:numPr>
      </w:pPr>
      <w:r>
        <w:rPr/>
        <w:t xml:space="preserve">Приказ МВД России от 24.11.2008 №1001 «О порядке регистрации транспортных средств»</w:t>
      </w:r>
    </w:p>
    <w:p>
      <w:pPr>
        <w:numPr>
          <w:ilvl w:val="0"/>
          <w:numId w:val="1"/>
        </w:numPr>
      </w:pPr>
      <w:r>
        <w:rPr/>
        <w:t xml:space="preserve">Обязательное страхование при ограниченном использовании транспортных средств, компенсационные выплаты, права и обязанности страховщиков, профессиональное объединение страховщиков.</w:t>
      </w:r>
    </w:p>
    <w:p>
      <w:pPr>
        <w:numPr>
          <w:ilvl w:val="0"/>
          <w:numId w:val="1"/>
        </w:numPr>
      </w:pPr>
      <w:r>
        <w:rPr/>
        <w:t xml:space="preserve">Документы, предоставляемые в регистрационное отделение при регистрации автотранспортного средства. </w:t>
      </w:r>
      <w:r>
        <w:rPr/>
        <w:t xml:space="preserve">Документы, выдаваемые на зарегистрированные автотранспортные средства.</w:t>
      </w:r>
    </w:p>
    <w:p>
      <w:pPr>
        <w:numPr>
          <w:ilvl w:val="0"/>
          <w:numId w:val="1"/>
        </w:numPr>
      </w:pPr>
      <w:r>
        <w:rPr/>
        <w:t xml:space="preserve">Федеральный закон ФЗ-170 «О техническом осмотре транспортных средств и о внесении изменений в отдельные законодательные акты Российской Федерации»</w:t>
      </w:r>
    </w:p>
    <w:p>
      <w:pPr>
        <w:numPr>
          <w:ilvl w:val="0"/>
          <w:numId w:val="1"/>
        </w:numPr>
      </w:pPr>
      <w:r>
        <w:rPr/>
        <w:t xml:space="preserve">Проверка состава выхлопных газов бензинового двигателя с помощью четырехкомпонентного газоанализатора</w:t>
      </w:r>
    </w:p>
    <w:p>
      <w:pPr>
        <w:numPr>
          <w:ilvl w:val="0"/>
          <w:numId w:val="1"/>
        </w:numPr>
      </w:pPr>
      <w:r>
        <w:rPr/>
        <w:t xml:space="preserve">Измерения дымности отработавших газов дизельных двигателей автомобилей с помощью дымомера</w:t>
      </w:r>
    </w:p>
    <w:p>
      <w:pPr>
        <w:numPr>
          <w:ilvl w:val="0"/>
          <w:numId w:val="1"/>
        </w:numPr>
      </w:pPr>
      <w:r>
        <w:rPr/>
        <w:t xml:space="preserve">Государственный стандарт РФ ГОСТ Р 51709-2001. «Автотранспортные средства. Требования безопасности к техническому состоянию и методы проверки»</w:t>
      </w:r>
    </w:p>
    <w:p>
      <w:pPr>
        <w:numPr>
          <w:ilvl w:val="0"/>
          <w:numId w:val="1"/>
        </w:numPr>
      </w:pPr>
      <w:r>
        <w:rPr/>
        <w:t xml:space="preserve">Государственный стандарт РФ ГОСТ Р 52033-2003 Автомобили с бензиновыми двигателями. Выбросы загрязняющих веществ с отработанными газами. Нормы и методы контроля при оценке технического состояния. Государственный стандарт РФ ГОСТ Р 52160-2003. Автотранспортные сродства, оснащённые двигателями с воспламенением от сжатия. Дымность отработавших газов. Нормы и методы контроля при оценке технического состояния.</w:t>
      </w:r>
    </w:p>
    <w:p>
      <w:pPr>
        <w:numPr>
          <w:ilvl w:val="0"/>
          <w:numId w:val="1"/>
        </w:numPr>
      </w:pPr>
      <w:r>
        <w:rPr/>
        <w:t xml:space="preserve">ГОСТ Р 17.2.2.06-99. Охрана природы. АТМОСФЕРА. Нормы и методы измерения содержания оксида углерода и углеводородов в отработавших газах газобаллонных автомобилей. ГОСТ Р52231-2004. Внешний шум автомобилей в эксплуатации. Допустимые уровни и методы измерения. Постановление Правительства РФ от 12 октября 2005 г. </w:t>
      </w:r>
      <w:r>
        <w:rPr/>
        <w:t xml:space="preserve">N</w:t>
      </w:r>
      <w:r>
        <w:rPr/>
        <w:t xml:space="preserve"> 609 "Об утверждении технического регламента "О требованиях к выбросам автомобильной техникой, выпускаемой в обращение на территории Российской Федерации, вредных (загрязняющих) веществ" (с изменениями от 27 ноября 2006 г., 26 ноября 2009 г., 8 декабря 2010 г.) 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Методы выполнения контроля технического состояния амортизаторов машин.</w:t>
      </w:r>
    </w:p>
    <w:p>
      <w:pPr/>
      <w:r>
        <w:rPr>
          <w:b w:val="1"/>
          <w:bCs w:val="1"/>
        </w:rPr>
        <w:t xml:space="preserve">Критерии оценки зачтено/не зачтено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Собеседование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2"/>
        </w:numPr>
      </w:pPr>
      <w:r>
        <w:rPr/>
        <w:t xml:space="preserve">Основные принципы обеспечения безопасности дорожного движения. Основные направления обеспечения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Медицинское обеспечение безопасности дорожного движения. Условия получения права на управление транспортными средствами Основания прекращения действия права на управление транспортными средствами.</w:t>
      </w:r>
    </w:p>
    <w:p>
      <w:pPr>
        <w:numPr>
          <w:ilvl w:val="0"/>
          <w:numId w:val="2"/>
        </w:numPr>
      </w:pPr>
      <w:r>
        <w:rPr/>
        <w:t xml:space="preserve">Определение экологического класса автомобиля. Экологический сертификат стандарта «Евро». </w:t>
      </w:r>
      <w:r>
        <w:rPr/>
        <w:t xml:space="preserve">Классификация стандарта Евро. Экологическая классификация автомобильной техники.</w:t>
      </w:r>
    </w:p>
    <w:p>
      <w:pPr>
        <w:numPr>
          <w:ilvl w:val="0"/>
          <w:numId w:val="2"/>
        </w:numPr>
      </w:pPr>
      <w:r>
        <w:rPr/>
        <w:t xml:space="preserve">Диагностическая карта, талон технического осмотра, международный сертификат технического осмотра. Контроль за деятельностью операторов технического осмотра. Ответственность оператора технического осмотра.</w:t>
      </w:r>
    </w:p>
    <w:p>
      <w:pPr>
        <w:numPr>
          <w:ilvl w:val="0"/>
          <w:numId w:val="2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систем. Требования к рулевому управлению. Требования к внешним световым приборам и светоотражающей маркировке. Требования к шинам и колесам. Требования к двигателю и его системам</w:t>
      </w:r>
    </w:p>
    <w:p>
      <w:pPr>
        <w:numPr>
          <w:ilvl w:val="0"/>
          <w:numId w:val="2"/>
        </w:numPr>
      </w:pPr>
      <w:r>
        <w:rPr/>
        <w:t xml:space="preserve">Требования к техническому состоянию двигателя. Методы измерений. Определение и обозначения терминов для ГОСТ Р 52160-2003.</w:t>
      </w:r>
    </w:p>
    <w:p>
      <w:pPr>
        <w:numPr>
          <w:ilvl w:val="0"/>
          <w:numId w:val="2"/>
        </w:numPr>
      </w:pPr>
      <w:r>
        <w:rPr/>
        <w:t xml:space="preserve">Основные неисправности вызывающие повышенный шум автомобиля.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на экзамен:</w:t>
      </w:r>
    </w:p>
    <w:p>
      <w:pPr>
        <w:numPr>
          <w:ilvl w:val="0"/>
          <w:numId w:val="3"/>
        </w:numPr>
      </w:pPr>
      <w:r>
        <w:rPr/>
        <w:t xml:space="preserve">Основные принципы обеспечения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Основные направления обеспечения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Полномочия Российской Федерации, субъектов Российской Федерации и органов местного самоуправления в области обеспечения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при проектировании, строительстве и реконструкции дорог.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при изготовлении и реализации транспортных средств, их составных частей, предметов дополнительного оборудования, запасных частей и принадлежностей.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при техническом обслуживании и ремонте транспортных средств.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средств.</w:t>
      </w:r>
    </w:p>
    <w:p>
      <w:pPr>
        <w:numPr>
          <w:ilvl w:val="0"/>
          <w:numId w:val="3"/>
        </w:numPr>
      </w:pPr>
      <w:r>
        <w:rPr/>
        <w:t xml:space="preserve">Требования по обеспечению безопасности дорожного движения в процессе его организации.</w:t>
      </w:r>
    </w:p>
    <w:p>
      <w:pPr>
        <w:numPr>
          <w:ilvl w:val="0"/>
          <w:numId w:val="3"/>
        </w:numPr>
      </w:pPr>
      <w:r>
        <w:rPr/>
        <w:t xml:space="preserve">Медицинское обеспечение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Условия получения права на управление транспортными средствами</w:t>
      </w:r>
    </w:p>
    <w:p>
      <w:pPr>
        <w:numPr>
          <w:ilvl w:val="0"/>
          <w:numId w:val="3"/>
        </w:numPr>
      </w:pPr>
      <w:r>
        <w:rPr/>
        <w:t xml:space="preserve">Основания прекращения действия права на управление транспортными средствами.</w:t>
      </w:r>
    </w:p>
    <w:p>
      <w:pPr>
        <w:numPr>
          <w:ilvl w:val="0"/>
          <w:numId w:val="3"/>
        </w:numPr>
      </w:pPr>
      <w:r>
        <w:rPr/>
        <w:t xml:space="preserve">Сроки регистрации механических транспортных средств и прицепов в Государственной инспекции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Требования к грузовым автомобилям с бортовой платформой, используемых для перевозки людей.</w:t>
      </w:r>
    </w:p>
    <w:p>
      <w:pPr>
        <w:numPr>
          <w:ilvl w:val="0"/>
          <w:numId w:val="3"/>
        </w:numPr>
      </w:pPr>
      <w:r>
        <w:rPr/>
        <w:t xml:space="preserve">Требования к механическому транспортному средству, используемого для обучения вождению.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«Автопоезд»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«Шипы»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«Перевозка детей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«Учебное транспортное средство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«Опасный груз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«Крупногабаритный груз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«Длинномерное транспортное средство».</w:t>
      </w:r>
    </w:p>
    <w:p>
      <w:pPr>
        <w:numPr>
          <w:ilvl w:val="0"/>
          <w:numId w:val="3"/>
        </w:numPr>
      </w:pPr>
      <w:r>
        <w:rPr/>
        <w:t xml:space="preserve">Что запрещается должностным и иным лицам, ответственным за техническое состояние и эксплуатацию транспортных средств по отношению к ТС.</w:t>
      </w:r>
    </w:p>
    <w:p>
      <w:pPr>
        <w:numPr>
          <w:ilvl w:val="0"/>
          <w:numId w:val="3"/>
        </w:numPr>
      </w:pPr>
      <w:r>
        <w:rPr/>
        <w:t xml:space="preserve">Обязанности должностных лиц, ответственных за состояние дорог, железнодорожных переездов и других дорожных сооружений.</w:t>
      </w:r>
    </w:p>
    <w:p>
      <w:pPr>
        <w:numPr>
          <w:ilvl w:val="0"/>
          <w:numId w:val="3"/>
        </w:numPr>
      </w:pPr>
      <w:r>
        <w:rPr/>
        <w:t xml:space="preserve">На какие транспортные средства устанавливаются проблесковые маячки желтого или оранжевого цвета.</w:t>
      </w:r>
    </w:p>
    <w:p>
      <w:pPr>
        <w:numPr>
          <w:ilvl w:val="0"/>
          <w:numId w:val="3"/>
        </w:numPr>
      </w:pPr>
      <w:r>
        <w:rPr/>
        <w:t xml:space="preserve">На какие транспортные средства устанавливаются проблесковые маячки 0, бело-лунного цвета.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</w:t>
      </w:r>
      <w:r>
        <w:rPr/>
        <w:t xml:space="preserve">L</w:t>
      </w:r>
      <w:r>
        <w:rPr/>
        <w:t xml:space="preserve">1 </w:t>
      </w:r>
      <w:r>
        <w:rPr/>
        <w:t xml:space="preserve">L</w:t>
      </w:r>
      <w:r>
        <w:rPr/>
        <w:t xml:space="preserve"> 2 </w:t>
      </w:r>
      <w:r>
        <w:rPr/>
        <w:t xml:space="preserve">L</w:t>
      </w:r>
      <w:r>
        <w:rPr/>
        <w:t xml:space="preserve"> 3 </w:t>
      </w:r>
      <w:r>
        <w:rPr/>
        <w:t xml:space="preserve">L</w:t>
      </w:r>
      <w:r>
        <w:rPr/>
        <w:t xml:space="preserve"> 4.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</w:t>
      </w:r>
      <w:r>
        <w:rPr/>
        <w:t xml:space="preserve">L</w:t>
      </w:r>
      <w:r>
        <w:rPr/>
        <w:t xml:space="preserve">5 </w:t>
      </w:r>
      <w:r>
        <w:rPr/>
        <w:t xml:space="preserve">L</w:t>
      </w:r>
      <w:r>
        <w:rPr/>
        <w:t xml:space="preserve">6 </w:t>
      </w:r>
      <w:r>
        <w:rPr/>
        <w:t xml:space="preserve">L</w:t>
      </w:r>
      <w:r>
        <w:rPr/>
        <w:t xml:space="preserve">7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М1,М2,М3.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</w:t>
      </w:r>
      <w:r>
        <w:rPr/>
        <w:t xml:space="preserve">N</w:t>
      </w:r>
      <w:r>
        <w:rPr/>
        <w:t xml:space="preserve">1,</w:t>
      </w:r>
      <w:r>
        <w:rPr/>
        <w:t xml:space="preserve">N</w:t>
      </w:r>
      <w:r>
        <w:rPr/>
        <w:t xml:space="preserve">2,</w:t>
      </w:r>
      <w:r>
        <w:rPr/>
        <w:t xml:space="preserve">N</w:t>
      </w:r>
      <w:r>
        <w:rPr/>
        <w:t xml:space="preserve">3.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категорииО1,О2,О3,О4.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</w:t>
      </w:r>
      <w:r>
        <w:rPr/>
        <w:t xml:space="preserve">G</w:t>
      </w:r>
    </w:p>
    <w:p>
      <w:pPr>
        <w:numPr>
          <w:ilvl w:val="0"/>
          <w:numId w:val="3"/>
        </w:numPr>
      </w:pPr>
      <w:r>
        <w:rPr/>
        <w:t xml:space="preserve">Основные понятия федерального закона.</w:t>
      </w:r>
    </w:p>
    <w:p>
      <w:pPr>
        <w:numPr>
          <w:ilvl w:val="0"/>
          <w:numId w:val="3"/>
        </w:numPr>
      </w:pPr>
      <w:r>
        <w:rPr/>
        <w:t xml:space="preserve">Обязанность владельцев транспортных средств по страхованию гражданской ответственности.</w:t>
      </w:r>
    </w:p>
    <w:p>
      <w:pPr>
        <w:numPr>
          <w:ilvl w:val="0"/>
          <w:numId w:val="3"/>
        </w:numPr>
      </w:pPr>
      <w:r>
        <w:rPr/>
        <w:t xml:space="preserve">Объект обязательного страхования и страховой риск.</w:t>
      </w:r>
    </w:p>
    <w:p>
      <w:pPr>
        <w:numPr>
          <w:ilvl w:val="0"/>
          <w:numId w:val="3"/>
        </w:numPr>
      </w:pPr>
      <w:r>
        <w:rPr/>
        <w:t xml:space="preserve">Страховая сумма.</w:t>
      </w:r>
    </w:p>
    <w:p>
      <w:pPr>
        <w:numPr>
          <w:ilvl w:val="0"/>
          <w:numId w:val="3"/>
        </w:numPr>
      </w:pPr>
      <w:r>
        <w:rPr/>
        <w:t xml:space="preserve">Государственное регулирование страховых тарифов.</w:t>
      </w:r>
    </w:p>
    <w:p>
      <w:pPr>
        <w:numPr>
          <w:ilvl w:val="0"/>
          <w:numId w:val="3"/>
        </w:numPr>
      </w:pPr>
      <w:r>
        <w:rPr/>
        <w:t xml:space="preserve">Базовые ставки и коэффициенты страховых тарифов.</w:t>
      </w:r>
    </w:p>
    <w:p>
      <w:pPr>
        <w:numPr>
          <w:ilvl w:val="0"/>
          <w:numId w:val="3"/>
        </w:numPr>
      </w:pPr>
      <w:r>
        <w:rPr/>
        <w:t xml:space="preserve">Действия страхователей и потерпевших при наступлении страхового случая.</w:t>
      </w:r>
    </w:p>
    <w:p>
      <w:pPr>
        <w:numPr>
          <w:ilvl w:val="0"/>
          <w:numId w:val="3"/>
        </w:numPr>
      </w:pPr>
      <w:r>
        <w:rPr/>
        <w:t xml:space="preserve">Определение размера страховой выплаты.</w:t>
      </w:r>
    </w:p>
    <w:p>
      <w:pPr>
        <w:numPr>
          <w:ilvl w:val="0"/>
          <w:numId w:val="3"/>
        </w:numPr>
      </w:pPr>
      <w:r>
        <w:rPr/>
        <w:t xml:space="preserve">Страховая выплата.</w:t>
      </w:r>
    </w:p>
    <w:p>
      <w:pPr>
        <w:numPr>
          <w:ilvl w:val="0"/>
          <w:numId w:val="3"/>
        </w:numPr>
      </w:pPr>
      <w:r>
        <w:rPr/>
        <w:t xml:space="preserve">Прямое возмещение убытков</w:t>
      </w:r>
    </w:p>
    <w:p>
      <w:pPr>
        <w:numPr>
          <w:ilvl w:val="0"/>
          <w:numId w:val="3"/>
        </w:numPr>
      </w:pPr>
      <w:r>
        <w:rPr/>
        <w:t xml:space="preserve">Обязательное страхование при ограниченном использовании транспортных средств.</w:t>
      </w:r>
    </w:p>
    <w:p>
      <w:pPr>
        <w:numPr>
          <w:ilvl w:val="0"/>
          <w:numId w:val="3"/>
        </w:numPr>
      </w:pPr>
      <w:r>
        <w:rPr/>
        <w:t xml:space="preserve">Компенсационные выплаты</w:t>
      </w:r>
    </w:p>
    <w:p>
      <w:pPr>
        <w:numPr>
          <w:ilvl w:val="0"/>
          <w:numId w:val="3"/>
        </w:numPr>
      </w:pPr>
      <w:r>
        <w:rPr/>
        <w:t xml:space="preserve">Права и обязанности страховщиков.</w:t>
      </w:r>
    </w:p>
    <w:p>
      <w:pPr>
        <w:numPr>
          <w:ilvl w:val="0"/>
          <w:numId w:val="3"/>
        </w:numPr>
      </w:pPr>
      <w:r>
        <w:rPr/>
        <w:t xml:space="preserve">Профессиональное объединение страховщиков</w:t>
      </w:r>
    </w:p>
    <w:p>
      <w:pPr>
        <w:numPr>
          <w:ilvl w:val="0"/>
          <w:numId w:val="3"/>
        </w:numPr>
      </w:pPr>
      <w:r>
        <w:rPr/>
        <w:t xml:space="preserve">Какие транспортные средства не подлежат регистрации в Госавтоинспекции и не принимаются к производству регистрационных действий?</w:t>
      </w:r>
    </w:p>
    <w:p>
      <w:pPr>
        <w:numPr>
          <w:ilvl w:val="0"/>
          <w:numId w:val="3"/>
        </w:numPr>
      </w:pPr>
      <w:r>
        <w:rPr/>
        <w:t xml:space="preserve">Порядок регистрации транспортных средств физических лиц.</w:t>
      </w:r>
    </w:p>
    <w:p>
      <w:pPr>
        <w:numPr>
          <w:ilvl w:val="0"/>
          <w:numId w:val="3"/>
        </w:numPr>
      </w:pPr>
      <w:r>
        <w:rPr/>
        <w:t xml:space="preserve">Порядок регистрации транспортных средств юридических лиц.</w:t>
      </w:r>
    </w:p>
    <w:p>
      <w:pPr>
        <w:numPr>
          <w:ilvl w:val="0"/>
          <w:numId w:val="3"/>
        </w:numPr>
      </w:pPr>
      <w:r>
        <w:rPr/>
        <w:t xml:space="preserve">Временая регистрации транспортных средств.</w:t>
      </w:r>
    </w:p>
    <w:p>
      <w:pPr>
        <w:numPr>
          <w:ilvl w:val="0"/>
          <w:numId w:val="3"/>
        </w:numPr>
      </w:pPr>
      <w:r>
        <w:rPr/>
        <w:t xml:space="preserve">Регистрация транспортных средств за иностранными гражданами.</w:t>
      </w:r>
    </w:p>
    <w:p>
      <w:pPr>
        <w:numPr>
          <w:ilvl w:val="0"/>
          <w:numId w:val="3"/>
        </w:numPr>
      </w:pPr>
      <w:r>
        <w:rPr/>
        <w:t xml:space="preserve">Регистрация транспортных средств, принадлежащих беженцам и вынужденным переселенцам,</w:t>
      </w:r>
    </w:p>
    <w:p>
      <w:pPr>
        <w:numPr>
          <w:ilvl w:val="0"/>
          <w:numId w:val="3"/>
        </w:numPr>
      </w:pPr>
      <w:r>
        <w:rPr/>
        <w:t xml:space="preserve">Порядок получения и сдачи регистрационных знаков "ТРАНЗИТ"</w:t>
      </w:r>
    </w:p>
    <w:p>
      <w:pPr>
        <w:numPr>
          <w:ilvl w:val="0"/>
          <w:numId w:val="3"/>
        </w:numPr>
      </w:pPr>
      <w:r>
        <w:rPr/>
        <w:t xml:space="preserve">Документы, предоставляемые в регистрационное отделение при регистрации</w:t>
      </w:r>
    </w:p>
    <w:p>
      <w:pPr>
        <w:numPr>
          <w:ilvl w:val="0"/>
          <w:numId w:val="3"/>
        </w:numPr>
      </w:pPr>
      <w:r>
        <w:rPr/>
        <w:t xml:space="preserve">Документы, выдаваемые на зарегистрированные транспортные средства</w:t>
      </w:r>
    </w:p>
    <w:p>
      <w:pPr>
        <w:numPr>
          <w:ilvl w:val="0"/>
          <w:numId w:val="3"/>
        </w:numPr>
      </w:pPr>
      <w:r>
        <w:rPr/>
        <w:t xml:space="preserve">Оформление документов на транспортные средства, вывозимые за пределы территории субъекта Российской Федерации</w:t>
      </w:r>
    </w:p>
    <w:p>
      <w:pPr>
        <w:numPr>
          <w:ilvl w:val="0"/>
          <w:numId w:val="3"/>
        </w:numPr>
      </w:pPr>
      <w:r>
        <w:rPr/>
        <w:t xml:space="preserve">Регистрация транспортных средств за лизингодателем, лизингополучателем.</w:t>
      </w:r>
    </w:p>
    <w:p>
      <w:pPr>
        <w:numPr>
          <w:ilvl w:val="0"/>
          <w:numId w:val="3"/>
        </w:numPr>
      </w:pPr>
      <w:r>
        <w:rPr/>
        <w:t xml:space="preserve">Основы системы технического осмотра</w:t>
      </w:r>
    </w:p>
    <w:p>
      <w:pPr>
        <w:numPr>
          <w:ilvl w:val="0"/>
          <w:numId w:val="3"/>
        </w:numPr>
      </w:pPr>
      <w:r>
        <w:rPr/>
        <w:t xml:space="preserve">Полномочия всех ветвей власти в сфере технического осмотра</w:t>
      </w:r>
    </w:p>
    <w:p>
      <w:pPr>
        <w:numPr>
          <w:ilvl w:val="0"/>
          <w:numId w:val="3"/>
        </w:numPr>
      </w:pPr>
      <w:r>
        <w:rPr/>
        <w:t xml:space="preserve">Полномочия профессионального объединения страховщиков в сфере технического осмотра.</w:t>
      </w:r>
    </w:p>
    <w:p>
      <w:pPr>
        <w:numPr>
          <w:ilvl w:val="0"/>
          <w:numId w:val="3"/>
        </w:numPr>
      </w:pPr>
      <w:r>
        <w:rPr/>
        <w:t xml:space="preserve">Аккредитация в сфере технического осмотра.</w:t>
      </w:r>
    </w:p>
    <w:p>
      <w:pPr>
        <w:numPr>
          <w:ilvl w:val="0"/>
          <w:numId w:val="3"/>
        </w:numPr>
      </w:pPr>
      <w:r>
        <w:rPr/>
        <w:t xml:space="preserve">Единая автоматизированная информационная система технического осмотра.</w:t>
      </w:r>
    </w:p>
    <w:p>
      <w:pPr>
        <w:numPr>
          <w:ilvl w:val="0"/>
          <w:numId w:val="3"/>
        </w:numPr>
      </w:pPr>
      <w:r>
        <w:rPr/>
        <w:t xml:space="preserve">Ведение реестра операторов технического осмотра. </w:t>
      </w:r>
      <w:r>
        <w:rPr/>
        <w:t xml:space="preserve">Обязанности оператора технического осмотра</w:t>
      </w:r>
    </w:p>
    <w:p>
      <w:pPr>
        <w:numPr>
          <w:ilvl w:val="0"/>
          <w:numId w:val="3"/>
        </w:numPr>
      </w:pPr>
      <w:r>
        <w:rPr/>
        <w:t xml:space="preserve">Периодичность проведения технического осмотра</w:t>
      </w:r>
    </w:p>
    <w:p>
      <w:pPr>
        <w:numPr>
          <w:ilvl w:val="0"/>
          <w:numId w:val="3"/>
        </w:numPr>
      </w:pPr>
      <w:r>
        <w:rPr/>
        <w:t xml:space="preserve">Условия проведения технического осмотра</w:t>
      </w:r>
    </w:p>
    <w:p>
      <w:pPr>
        <w:numPr>
          <w:ilvl w:val="0"/>
          <w:numId w:val="3"/>
        </w:numPr>
      </w:pPr>
      <w:r>
        <w:rPr/>
        <w:t xml:space="preserve">. Диагностическая карта, талон технического осмотра, международный сертификат технического осмотра.</w:t>
      </w:r>
    </w:p>
    <w:p>
      <w:pPr>
        <w:numPr>
          <w:ilvl w:val="0"/>
          <w:numId w:val="3"/>
        </w:numPr>
      </w:pPr>
      <w:r>
        <w:rPr/>
        <w:t xml:space="preserve">Контроль за деятельностью операторов технического осмотра</w:t>
      </w:r>
    </w:p>
    <w:p>
      <w:pPr>
        <w:numPr>
          <w:ilvl w:val="0"/>
          <w:numId w:val="3"/>
        </w:numPr>
      </w:pPr>
      <w:r>
        <w:rPr/>
        <w:t xml:space="preserve">Ответственность оператора технического осмотра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51709-2001.</w:t>
      </w:r>
    </w:p>
    <w:p>
      <w:pPr>
        <w:numPr>
          <w:ilvl w:val="0"/>
          <w:numId w:val="3"/>
        </w:numPr>
      </w:pPr>
      <w:r>
        <w:rPr/>
        <w:t xml:space="preserve">Требования к тормозному управлению (рабочая тормозная система)</w:t>
      </w:r>
    </w:p>
    <w:p>
      <w:pPr>
        <w:numPr>
          <w:ilvl w:val="0"/>
          <w:numId w:val="3"/>
        </w:numPr>
      </w:pPr>
      <w:r>
        <w:rPr/>
        <w:t xml:space="preserve">Требования к тормозному управлению (стояночная тормозная система)</w:t>
      </w:r>
    </w:p>
    <w:p>
      <w:pPr>
        <w:numPr>
          <w:ilvl w:val="0"/>
          <w:numId w:val="3"/>
        </w:numPr>
      </w:pPr>
      <w:r>
        <w:rPr/>
        <w:t xml:space="preserve">Нормативы эффективности торможения АТС при помощи рабочей тормозной системы при проверках на роликовых стендах</w:t>
      </w:r>
    </w:p>
    <w:p>
      <w:pPr>
        <w:numPr>
          <w:ilvl w:val="0"/>
          <w:numId w:val="3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</w:t>
      </w:r>
    </w:p>
    <w:p>
      <w:pPr>
        <w:numPr>
          <w:ilvl w:val="0"/>
          <w:numId w:val="3"/>
        </w:numPr>
      </w:pPr>
      <w:r>
        <w:rPr/>
        <w:t xml:space="preserve">Требования к рулевому управлению</w:t>
      </w:r>
    </w:p>
    <w:p>
      <w:pPr>
        <w:numPr>
          <w:ilvl w:val="0"/>
          <w:numId w:val="3"/>
        </w:numPr>
      </w:pPr>
      <w:r>
        <w:rPr/>
        <w:t xml:space="preserve">Требования к внешним световым приборам и светоотражающей маркировке</w:t>
      </w:r>
    </w:p>
    <w:p>
      <w:pPr>
        <w:numPr>
          <w:ilvl w:val="0"/>
          <w:numId w:val="3"/>
        </w:numPr>
      </w:pPr>
      <w:r>
        <w:rPr/>
        <w:t xml:space="preserve">Требования к шинам и колесам</w:t>
      </w:r>
    </w:p>
    <w:p>
      <w:pPr>
        <w:numPr>
          <w:ilvl w:val="0"/>
          <w:numId w:val="3"/>
        </w:numPr>
      </w:pPr>
      <w:r>
        <w:rPr/>
        <w:t xml:space="preserve">Требования к двигателю и его системам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52033-2003.</w:t>
      </w:r>
    </w:p>
    <w:p>
      <w:pPr>
        <w:numPr>
          <w:ilvl w:val="0"/>
          <w:numId w:val="3"/>
        </w:numPr>
      </w:pPr>
      <w:r>
        <w:rPr/>
        <w:t xml:space="preserve">Системы нейтрализации отработанных газов.</w:t>
      </w:r>
    </w:p>
    <w:p>
      <w:pPr>
        <w:numPr>
          <w:ilvl w:val="0"/>
          <w:numId w:val="3"/>
        </w:numPr>
      </w:pPr>
      <w:r>
        <w:rPr/>
        <w:t xml:space="preserve">Содержание оксида углерода и углеводородов автомобилей категорий М1,М2, М3, </w:t>
      </w:r>
      <w:r>
        <w:rPr/>
        <w:t xml:space="preserve">N</w:t>
      </w:r>
      <w:r>
        <w:rPr/>
        <w:t xml:space="preserve">1,</w:t>
      </w:r>
      <w:r>
        <w:rPr/>
        <w:t xml:space="preserve">N</w:t>
      </w:r>
      <w:r>
        <w:rPr/>
        <w:t xml:space="preserve">2, </w:t>
      </w:r>
      <w:r>
        <w:rPr/>
        <w:t xml:space="preserve">N</w:t>
      </w:r>
      <w:r>
        <w:rPr/>
        <w:t xml:space="preserve">3, не оснащенные системами нейтрализации отработавших газов.</w:t>
      </w:r>
    </w:p>
    <w:p>
      <w:pPr>
        <w:numPr>
          <w:ilvl w:val="0"/>
          <w:numId w:val="3"/>
        </w:numPr>
      </w:pPr>
      <w:r>
        <w:rPr/>
        <w:t xml:space="preserve">Содержание оксида углерода и углеводородов автомобилей категорий М1,М2, М3, </w:t>
      </w:r>
      <w:r>
        <w:rPr/>
        <w:t xml:space="preserve">N</w:t>
      </w:r>
      <w:r>
        <w:rPr/>
        <w:t xml:space="preserve">1,</w:t>
      </w:r>
      <w:r>
        <w:rPr/>
        <w:t xml:space="preserve">N</w:t>
      </w:r>
      <w:r>
        <w:rPr/>
        <w:t xml:space="preserve">2, </w:t>
      </w:r>
      <w:r>
        <w:rPr/>
        <w:t xml:space="preserve">N</w:t>
      </w:r>
      <w:r>
        <w:rPr/>
        <w:t xml:space="preserve">3, оборудованных двухкомпонентной системой нейтрализации отработавших газов.</w:t>
      </w:r>
    </w:p>
    <w:p>
      <w:pPr>
        <w:numPr>
          <w:ilvl w:val="0"/>
          <w:numId w:val="3"/>
        </w:numPr>
      </w:pPr>
      <w:r>
        <w:rPr/>
        <w:t xml:space="preserve">Содержание оксида углерода и углеводородов автомобилей категорий М1,М2, М3, </w:t>
      </w:r>
      <w:r>
        <w:rPr/>
        <w:t xml:space="preserve">N</w:t>
      </w:r>
      <w:r>
        <w:rPr/>
        <w:t xml:space="preserve">1,</w:t>
      </w:r>
      <w:r>
        <w:rPr/>
        <w:t xml:space="preserve">N</w:t>
      </w:r>
      <w:r>
        <w:rPr/>
        <w:t xml:space="preserve">2, </w:t>
      </w:r>
      <w:r>
        <w:rPr/>
        <w:t xml:space="preserve">N</w:t>
      </w:r>
      <w:r>
        <w:rPr/>
        <w:t xml:space="preserve">3, оборудованных трехкомпонентной системой нейтрализации отработавших газов.</w:t>
      </w:r>
    </w:p>
    <w:p>
      <w:pPr>
        <w:numPr>
          <w:ilvl w:val="0"/>
          <w:numId w:val="3"/>
        </w:numPr>
      </w:pPr>
      <w:r>
        <w:rPr/>
        <w:t xml:space="preserve">Требование к техническому состоянию двигателя.</w:t>
      </w:r>
    </w:p>
    <w:p>
      <w:pPr>
        <w:numPr>
          <w:ilvl w:val="0"/>
          <w:numId w:val="3"/>
        </w:numPr>
      </w:pPr>
      <w:r>
        <w:rPr/>
        <w:t xml:space="preserve">Методы измерений.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52160-2003.</w:t>
      </w:r>
    </w:p>
    <w:p>
      <w:pPr>
        <w:numPr>
          <w:ilvl w:val="0"/>
          <w:numId w:val="3"/>
        </w:numPr>
      </w:pPr>
      <w:r>
        <w:rPr/>
        <w:t xml:space="preserve">Нормы дымности</w:t>
      </w:r>
    </w:p>
    <w:p>
      <w:pPr>
        <w:numPr>
          <w:ilvl w:val="0"/>
          <w:numId w:val="3"/>
        </w:numPr>
      </w:pPr>
      <w:r>
        <w:rPr/>
        <w:t xml:space="preserve">Методы контроля</w:t>
      </w:r>
    </w:p>
    <w:p>
      <w:pPr>
        <w:numPr>
          <w:ilvl w:val="0"/>
          <w:numId w:val="3"/>
        </w:numPr>
      </w:pPr>
      <w:r>
        <w:rPr/>
        <w:t xml:space="preserve">Нормы содержания вредных веществ в отработавших газах газобаллонных автомобилей.</w:t>
      </w:r>
    </w:p>
    <w:p>
      <w:pPr>
        <w:numPr>
          <w:ilvl w:val="0"/>
          <w:numId w:val="3"/>
        </w:numPr>
      </w:pPr>
      <w:r>
        <w:rPr/>
        <w:t xml:space="preserve">Методы измерения вредных веществ в отработавших газах газобаллонных автомобилей.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52231-2004.</w:t>
      </w:r>
    </w:p>
    <w:p>
      <w:pPr>
        <w:numPr>
          <w:ilvl w:val="0"/>
          <w:numId w:val="3"/>
        </w:numPr>
      </w:pPr>
      <w:r>
        <w:rPr/>
        <w:t xml:space="preserve">Допустимые уровни шума.</w:t>
      </w:r>
    </w:p>
    <w:p>
      <w:pPr>
        <w:numPr>
          <w:ilvl w:val="0"/>
          <w:numId w:val="3"/>
        </w:numPr>
      </w:pPr>
      <w:r>
        <w:rPr/>
        <w:t xml:space="preserve">Измерение уровня шума.</w:t>
      </w:r>
    </w:p>
    <w:p>
      <w:pPr>
        <w:numPr>
          <w:ilvl w:val="0"/>
          <w:numId w:val="3"/>
        </w:numPr>
      </w:pPr>
      <w:r>
        <w:rPr/>
        <w:t xml:space="preserve">Основные неисправности вызывающие повышенный шум автомобиля.</w:t>
      </w:r>
    </w:p>
    <w:p>
      <w:pPr>
        <w:numPr>
          <w:ilvl w:val="0"/>
          <w:numId w:val="3"/>
        </w:numPr>
      </w:pPr>
      <w:r>
        <w:rPr/>
        <w:t xml:space="preserve">Определение экологического класса автомобиля. Экологический сертификат стандарта «Евро»</w:t>
      </w:r>
    </w:p>
    <w:p>
      <w:pPr>
        <w:numPr>
          <w:ilvl w:val="0"/>
          <w:numId w:val="3"/>
        </w:numPr>
      </w:pPr>
      <w:r>
        <w:rPr/>
        <w:t xml:space="preserve">Классификация стандарта Евро.</w:t>
      </w:r>
    </w:p>
    <w:p>
      <w:pPr>
        <w:numPr>
          <w:ilvl w:val="0"/>
          <w:numId w:val="3"/>
        </w:numPr>
      </w:pPr>
      <w:r>
        <w:rPr/>
        <w:t xml:space="preserve">Экологическая классификация автомобильной техники.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с начала семестра каждую неделю. Лабораторные занятия проходят раз в две недели.</w:t>
      </w:r>
      <w:r>
        <w:rPr/>
        <w:t xml:space="preserve"> </w:t>
      </w:r>
      <w:r>
        <w:rPr/>
        <w:t xml:space="preserve">При этом предусматривается 42 часа аудиторной и 66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</w:t>
      </w:r>
      <w:r>
        <w:rPr/>
        <w:t xml:space="preserve"> </w:t>
      </w:r>
      <w:r>
        <w:rPr/>
        <w:t xml:space="preserve">реализации работы со студентами по дисциплине "Организация государственного учета и контроля технического состояния автотранспортных средств" следует</w:t>
      </w:r>
      <w:r>
        <w:rPr/>
        <w:t xml:space="preserve"> </w:t>
      </w:r>
      <w:r>
        <w:rPr/>
        <w:t xml:space="preserve">руководствоваться данными, входящими в данную</w:t>
      </w:r>
      <w:r>
        <w:rPr/>
        <w:t xml:space="preserve"> </w:t>
      </w:r>
      <w:r>
        <w:rPr/>
        <w:t xml:space="preserve">рабочую программу. Аудиторная нагрузка включает следующие виды занятий: лекции, лабораторные занятия. Лекции проходят с начала семестра -</w:t>
      </w:r>
      <w:r>
        <w:rPr/>
        <w:t xml:space="preserve"> </w:t>
      </w:r>
      <w:r>
        <w:rPr/>
        <w:t xml:space="preserve">еженедельно, лабораторные занятия раз в две недели. В течение семестра 4-5 раз проводится контроль посещаемости, в случайные дни, желательно равномерно в семестре. Содержание лабораторных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Закон Российской Федерации «О безопасности». Безопасность и охрана правопорядка: Сборник федереральных законов : официальный документ / . - Новосибирск : Сибирское университетское издательство, 2005. - 224 с. - </w:t>
      </w:r>
      <w:r>
        <w:rPr/>
        <w:t xml:space="preserve">ISBN</w:t>
      </w:r>
      <w:r>
        <w:rPr/>
        <w:t xml:space="preserve"> 5-94087-328-6 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http://biblioclub.ru/index.php?page=book&amp;id=57419</w:t>
        </w:r>
      </w:hyperlink>
    </w:p>
    <w:p>
      <w:pPr/>
      <w:r>
        <w:rPr/>
        <w:t xml:space="preserve">Нормативно-правовое обеспечение деятельности транспорта : учебник / Н. Якунин, Н. Якунина, М. Янучков, С.Н. Якунин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- 392 с. - Библиогр. в кн. ; То же [Электронный ресурс]. - URL: </w:t>
      </w:r>
      <w:hyperlink r:id="rId8" w:history="1">
        <w:r>
          <w:rPr/>
          <w:t xml:space="preserve">http://biblioclub.ru/index.php?page=book&amp;id=259295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Гольштейн, Г. Ю. 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</w:t>
      </w:r>
    </w:p>
    <w:p>
      <w:pPr/>
      <w:r>
        <w:rPr/>
        <w:t xml:space="preserve">Пеньшин, Н.В. Служба ГИБДД : учебное пособие / Н.В.</w:t>
      </w:r>
      <w:r>
        <w:rPr/>
        <w:t xml:space="preserve"> </w:t>
      </w:r>
      <w:r>
        <w:rPr/>
        <w:t xml:space="preserve">Пеньшин, В.С.</w:t>
      </w:r>
      <w:r>
        <w:rPr/>
        <w:t xml:space="preserve"> </w:t>
      </w:r>
      <w:r>
        <w:rPr/>
        <w:t xml:space="preserve">Горюшинский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- 204 с. : ил., табл., схем. - Библиогр. в кн. - </w:t>
      </w:r>
      <w:r>
        <w:rPr/>
        <w:t xml:space="preserve">ISBN</w:t>
      </w:r>
      <w:r>
        <w:rPr/>
        <w:t xml:space="preserve"> 978-5-8265-1420-7 ; То же [Электронный ресурс]. -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http://biblioclub.ru/index.php?page=book&amp;id=444655</w:t>
        </w:r>
      </w:hyperlink>
    </w:p>
    <w:p>
      <w:pPr/>
      <w:r>
        <w:rPr/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«Организация государственного учета и контроля технического состояния автотранспортных средств» для обучающихся по направлению подготовки специалитета 23.05.01 "Наземные транспортно-технические средства"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E6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AB6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5B6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C34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419" TargetMode="External"/><Relationship Id="rId8" Type="http://schemas.openxmlformats.org/officeDocument/2006/relationships/hyperlink" Target="http://biblioclub.ru/index.php?page=book&amp;id=259295" TargetMode="External"/><Relationship Id="rId9" Type="http://schemas.openxmlformats.org/officeDocument/2006/relationships/hyperlink" Target="http://biblioclub.ru/index.php?page=book&amp;id=444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2026-04-21T12:49:14+03:00</dcterms:created>
  <dcterms:modified xsi:type="dcterms:W3CDTF">2026-04-21T12:49:14+03:00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